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36AADA0"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bookmarkStart w:id="0" w:name="_GoBack"/>
      <w:bookmarkEnd w:id="0"/>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CF49A9">
        <w:rPr>
          <w:rFonts w:ascii="Arial" w:hAnsi="Arial" w:cs="Arial"/>
          <w:b/>
          <w:sz w:val="28"/>
          <w:szCs w:val="28"/>
          <w:lang w:val="sv-SE"/>
        </w:rPr>
        <w:t>9</w:t>
      </w:r>
      <w:r w:rsidR="00357EDD" w:rsidRPr="00357EDD">
        <w:rPr>
          <w:rFonts w:ascii="Arial" w:hAnsi="Arial" w:cs="Arial" w:hint="eastAsia"/>
          <w:b/>
          <w:sz w:val="28"/>
          <w:szCs w:val="28"/>
          <w:lang w:val="sv-SE"/>
        </w:rPr>
        <w:t>bis</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Pr="003F2D43">
        <w:rPr>
          <w:rFonts w:ascii="Arial" w:hAnsi="Arial" w:cs="Arial"/>
          <w:b/>
          <w:sz w:val="28"/>
          <w:szCs w:val="28"/>
          <w:lang w:val="sv-SE"/>
        </w:rPr>
        <w:t>R2</w:t>
      </w:r>
      <w:r w:rsidR="008F522E">
        <w:rPr>
          <w:rFonts w:ascii="Arial" w:hAnsi="Arial" w:cs="Arial"/>
          <w:b/>
          <w:sz w:val="28"/>
          <w:szCs w:val="28"/>
          <w:lang w:val="sv-SE"/>
        </w:rPr>
        <w:t>-</w:t>
      </w:r>
      <w:r w:rsidR="001954F7">
        <w:rPr>
          <w:rFonts w:ascii="Arial" w:hAnsi="Arial" w:cs="Arial"/>
          <w:b/>
          <w:sz w:val="28"/>
          <w:szCs w:val="28"/>
          <w:lang w:val="sv-SE"/>
        </w:rPr>
        <w:t>2502792</w:t>
      </w:r>
    </w:p>
    <w:p w14:paraId="1FC815AD" w14:textId="77392217" w:rsidR="00A053D1" w:rsidRPr="003F2D43" w:rsidRDefault="002A4A48">
      <w:pPr>
        <w:tabs>
          <w:tab w:val="left" w:pos="567"/>
        </w:tabs>
        <w:rPr>
          <w:rFonts w:ascii="Arial" w:hAnsi="Arial"/>
          <w:b/>
          <w:sz w:val="24"/>
          <w:szCs w:val="24"/>
        </w:rPr>
      </w:pPr>
      <w:r>
        <w:rPr>
          <w:rFonts w:ascii="Arial" w:hAnsi="Arial" w:cs="Arial"/>
          <w:b/>
          <w:sz w:val="28"/>
          <w:szCs w:val="28"/>
        </w:rPr>
        <w:t>Wuhan, China, 7 - 11 April, 2025</w:t>
      </w:r>
    </w:p>
    <w:p w14:paraId="0F7C80EE" w14:textId="65DDB986" w:rsidR="008054F0" w:rsidRDefault="008054F0" w:rsidP="008054F0">
      <w:pPr>
        <w:tabs>
          <w:tab w:val="left" w:pos="1985"/>
        </w:tabs>
        <w:rPr>
          <w:rFonts w:ascii="Arial" w:hAnsi="Arial"/>
          <w:sz w:val="24"/>
        </w:rPr>
      </w:pPr>
      <w:r>
        <w:rPr>
          <w:rFonts w:ascii="Arial" w:hAnsi="Arial"/>
          <w:b/>
          <w:sz w:val="24"/>
        </w:rPr>
        <w:t xml:space="preserve">Title: </w:t>
      </w:r>
      <w:r>
        <w:rPr>
          <w:rFonts w:ascii="Arial" w:hAnsi="Arial"/>
          <w:b/>
          <w:sz w:val="24"/>
        </w:rPr>
        <w:tab/>
      </w:r>
      <w:r w:rsidRPr="00CF49A9">
        <w:rPr>
          <w:rFonts w:ascii="Arial" w:hAnsi="Arial"/>
          <w:sz w:val="24"/>
          <w:szCs w:val="24"/>
        </w:rPr>
        <w:t>Discussion on SONMDT for NTN</w:t>
      </w:r>
    </w:p>
    <w:p w14:paraId="366AF670" w14:textId="77777777" w:rsidR="008054F0" w:rsidRDefault="008054F0" w:rsidP="008054F0">
      <w:pPr>
        <w:tabs>
          <w:tab w:val="left" w:pos="1985"/>
        </w:tabs>
        <w:rPr>
          <w:rFonts w:ascii="Arial" w:eastAsia="PMingLiU" w:hAnsi="Arial"/>
          <w:b/>
          <w:sz w:val="24"/>
          <w:lang w:eastAsia="zh-TW"/>
        </w:rPr>
      </w:pPr>
      <w:r>
        <w:rPr>
          <w:rFonts w:ascii="Arial" w:hAnsi="Arial"/>
          <w:b/>
          <w:sz w:val="24"/>
        </w:rPr>
        <w:t xml:space="preserve">Source: </w:t>
      </w:r>
      <w:r>
        <w:rPr>
          <w:rFonts w:ascii="Arial" w:hAnsi="Arial"/>
          <w:b/>
          <w:sz w:val="24"/>
        </w:rPr>
        <w:tab/>
      </w:r>
      <w:r>
        <w:rPr>
          <w:rFonts w:ascii="Arial" w:eastAsia="PMingLiU" w:hAnsi="Arial"/>
          <w:sz w:val="24"/>
          <w:lang w:eastAsia="zh-TW"/>
        </w:rPr>
        <w:t>Huawei, HiSilicon</w:t>
      </w:r>
    </w:p>
    <w:p w14:paraId="407D0792" w14:textId="2AA70931" w:rsidR="008054F0" w:rsidRDefault="008054F0" w:rsidP="008054F0">
      <w:pPr>
        <w:tabs>
          <w:tab w:val="left" w:pos="1985"/>
        </w:tabs>
        <w:rPr>
          <w:rFonts w:ascii="Arial" w:eastAsia="PMingLiU" w:hAnsi="Arial"/>
          <w:b/>
          <w:color w:val="000000"/>
          <w:sz w:val="24"/>
          <w:lang w:eastAsia="zh-TW"/>
        </w:rPr>
      </w:pPr>
      <w:r>
        <w:rPr>
          <w:rFonts w:ascii="Arial" w:hAnsi="Arial"/>
          <w:b/>
          <w:sz w:val="24"/>
        </w:rPr>
        <w:t>Agenda item:</w:t>
      </w:r>
      <w:r>
        <w:rPr>
          <w:rFonts w:ascii="Arial" w:hAnsi="Arial"/>
          <w:b/>
          <w:sz w:val="24"/>
        </w:rPr>
        <w:tab/>
      </w:r>
      <w:r>
        <w:rPr>
          <w:rFonts w:ascii="Arial" w:hAnsi="Arial"/>
          <w:sz w:val="24"/>
        </w:rPr>
        <w:t>8.10.4</w:t>
      </w:r>
    </w:p>
    <w:p w14:paraId="17984090" w14:textId="77777777" w:rsidR="008054F0" w:rsidRDefault="008054F0" w:rsidP="008054F0">
      <w:pPr>
        <w:tabs>
          <w:tab w:val="left" w:pos="1985"/>
        </w:tabs>
        <w:spacing w:after="240"/>
        <w:rPr>
          <w:rFonts w:ascii="Arial" w:eastAsiaTheme="minorEastAsia" w:hAnsi="Arial"/>
          <w:sz w:val="24"/>
          <w:lang w:eastAsia="en-US"/>
        </w:rPr>
      </w:pPr>
      <w:r>
        <w:rPr>
          <w:rFonts w:ascii="Arial" w:hAnsi="Arial"/>
          <w:b/>
          <w:sz w:val="24"/>
        </w:rPr>
        <w:t>Document for:</w:t>
      </w:r>
      <w:r>
        <w:rPr>
          <w:rFonts w:ascii="Arial" w:hAnsi="Arial"/>
          <w:b/>
          <w:sz w:val="24"/>
        </w:rPr>
        <w:tab/>
      </w:r>
      <w:r>
        <w:rPr>
          <w:rFonts w:ascii="Arial" w:hAnsi="Arial"/>
          <w:sz w:val="24"/>
        </w:rPr>
        <w:t>Discussion/Decision</w:t>
      </w:r>
    </w:p>
    <w:p w14:paraId="69E856B8" w14:textId="16AA3C07" w:rsidR="00A053D1" w:rsidRPr="003F2D43" w:rsidRDefault="00827357">
      <w:pPr>
        <w:pStyle w:val="1"/>
      </w:pPr>
      <w:r w:rsidRPr="003F2D43">
        <w:t>1   Introduction</w:t>
      </w:r>
    </w:p>
    <w:p w14:paraId="49727720" w14:textId="46852556" w:rsidR="00FF75C2" w:rsidRDefault="00BF0C3D" w:rsidP="00DF0BC6">
      <w:pPr>
        <w:spacing w:after="0"/>
        <w:rPr>
          <w:rFonts w:eastAsiaTheme="minorEastAsia"/>
        </w:rPr>
      </w:pPr>
      <w:r>
        <w:rPr>
          <w:rFonts w:eastAsiaTheme="minorEastAsia"/>
        </w:rPr>
        <w:t>According to the RAN</w:t>
      </w:r>
      <w:r w:rsidR="00CF49A9">
        <w:rPr>
          <w:rFonts w:eastAsiaTheme="minorEastAsia"/>
        </w:rPr>
        <w:t>3</w:t>
      </w:r>
      <w:r>
        <w:rPr>
          <w:rFonts w:eastAsiaTheme="minorEastAsia"/>
        </w:rPr>
        <w:t xml:space="preserve"> #1</w:t>
      </w:r>
      <w:r w:rsidR="00CF49A9">
        <w:rPr>
          <w:rFonts w:eastAsiaTheme="minorEastAsia"/>
        </w:rPr>
        <w:t>26</w:t>
      </w:r>
      <w:r>
        <w:rPr>
          <w:rFonts w:eastAsiaTheme="minorEastAsia"/>
        </w:rPr>
        <w:t xml:space="preserve"> meeting, </w:t>
      </w:r>
      <w:r w:rsidR="00CF49A9">
        <w:rPr>
          <w:rFonts w:eastAsiaTheme="minorEastAsia"/>
        </w:rPr>
        <w:t xml:space="preserve">the LS </w:t>
      </w:r>
      <w:r w:rsidR="00CF49A9" w:rsidRPr="00CF49A9">
        <w:rPr>
          <w:rFonts w:eastAsiaTheme="minorEastAsia"/>
        </w:rPr>
        <w:t>on RAN3 agreements with impact on UE related to the Rel-19 SON/MDT</w:t>
      </w:r>
      <w:r w:rsidR="00CF49A9">
        <w:rPr>
          <w:rFonts w:eastAsiaTheme="minorEastAsia"/>
        </w:rPr>
        <w:t xml:space="preserve"> </w:t>
      </w:r>
      <w:r w:rsidR="00192588">
        <w:rPr>
          <w:rFonts w:eastAsiaTheme="minorEastAsia"/>
        </w:rPr>
        <w:t xml:space="preserve">[1] </w:t>
      </w:r>
      <w:r w:rsidR="00CF49A9">
        <w:rPr>
          <w:rFonts w:eastAsiaTheme="minorEastAsia"/>
        </w:rPr>
        <w:t xml:space="preserve">was sent to RAN2, among which the </w:t>
      </w:r>
      <w:r w:rsidR="00CF49A9" w:rsidRPr="00CF49A9">
        <w:rPr>
          <w:rFonts w:eastAsiaTheme="minorEastAsia"/>
        </w:rPr>
        <w:t>SON/MDT</w:t>
      </w:r>
      <w:r w:rsidR="00CF49A9">
        <w:rPr>
          <w:rFonts w:eastAsiaTheme="minorEastAsia"/>
        </w:rPr>
        <w:t>-</w:t>
      </w:r>
      <w:r w:rsidR="00CF49A9" w:rsidRPr="00CF49A9">
        <w:rPr>
          <w:rFonts w:eastAsiaTheme="minorEastAsia"/>
        </w:rPr>
        <w:t>for</w:t>
      </w:r>
      <w:r w:rsidR="00CF49A9">
        <w:rPr>
          <w:rFonts w:eastAsiaTheme="minorEastAsia"/>
        </w:rPr>
        <w:t>-</w:t>
      </w:r>
      <w:r w:rsidR="00CF49A9" w:rsidRPr="00CF49A9">
        <w:rPr>
          <w:rFonts w:eastAsiaTheme="minorEastAsia"/>
        </w:rPr>
        <w:t>NTN</w:t>
      </w:r>
      <w:r w:rsidR="00CF49A9">
        <w:rPr>
          <w:rFonts w:eastAsiaTheme="minorEastAsia"/>
        </w:rPr>
        <w:t xml:space="preserve"> related issues are as follows</w:t>
      </w:r>
      <w:r w:rsidR="00DF0BC6">
        <w:rPr>
          <w:rFonts w:eastAsiaTheme="minorEastAsia"/>
        </w:rPr>
        <w:t>:</w:t>
      </w:r>
    </w:p>
    <w:tbl>
      <w:tblPr>
        <w:tblStyle w:val="af2"/>
        <w:tblW w:w="0" w:type="auto"/>
        <w:tblLook w:val="04A0" w:firstRow="1" w:lastRow="0" w:firstColumn="1" w:lastColumn="0" w:noHBand="0" w:noVBand="1"/>
      </w:tblPr>
      <w:tblGrid>
        <w:gridCol w:w="9629"/>
      </w:tblGrid>
      <w:tr w:rsidR="00DF0BC6" w14:paraId="0DA055D9" w14:textId="77777777" w:rsidTr="00AF6EAD">
        <w:tc>
          <w:tcPr>
            <w:tcW w:w="9629" w:type="dxa"/>
          </w:tcPr>
          <w:p w14:paraId="627FD0C5" w14:textId="77777777" w:rsidR="00CF49A9" w:rsidRDefault="00CF49A9" w:rsidP="00CF49A9">
            <w:pPr>
              <w:widowControl w:val="0"/>
              <w:numPr>
                <w:ilvl w:val="0"/>
                <w:numId w:val="35"/>
              </w:numPr>
              <w:spacing w:after="0"/>
              <w:rPr>
                <w:rFonts w:ascii="Arial" w:eastAsia="宋体" w:hAnsi="Arial" w:cs="Arial"/>
                <w:b/>
                <w:bCs/>
                <w:lang w:val="en-US"/>
              </w:rPr>
            </w:pPr>
            <w:bookmarkStart w:id="1" w:name="_Hlk162445187"/>
            <w:r w:rsidRPr="007201D2">
              <w:rPr>
                <w:rFonts w:ascii="Arial" w:eastAsia="宋体" w:hAnsi="Arial" w:cs="Arial" w:hint="eastAsia"/>
                <w:b/>
                <w:bCs/>
                <w:lang w:val="en-US"/>
              </w:rPr>
              <w:t>Regarding SON/MDT for NTN:</w:t>
            </w:r>
          </w:p>
          <w:p w14:paraId="5C78F77F" w14:textId="77777777" w:rsidR="00CF49A9" w:rsidRPr="007201D2" w:rsidRDefault="00CF49A9" w:rsidP="00CF49A9">
            <w:pPr>
              <w:pStyle w:val="a9"/>
            </w:pPr>
          </w:p>
          <w:p w14:paraId="27BBAC7D" w14:textId="77777777" w:rsidR="00CF49A9" w:rsidRDefault="00CF49A9" w:rsidP="00CF49A9">
            <w:pPr>
              <w:widowControl w:val="0"/>
              <w:numPr>
                <w:ilvl w:val="255"/>
                <w:numId w:val="0"/>
              </w:numPr>
              <w:spacing w:after="0"/>
              <w:rPr>
                <w:rFonts w:ascii="Arial" w:eastAsia="宋体" w:hAnsi="Arial" w:cs="Arial"/>
                <w:lang w:val="en-US"/>
              </w:rPr>
            </w:pPr>
            <w:r>
              <w:rPr>
                <w:rFonts w:ascii="Arial" w:eastAsia="宋体" w:hAnsi="Arial" w:cs="Arial" w:hint="eastAsia"/>
                <w:lang w:val="en-US"/>
              </w:rPr>
              <w:t xml:space="preserve">On </w:t>
            </w:r>
            <w:r w:rsidRPr="00AA5AF3">
              <w:rPr>
                <w:rFonts w:ascii="Arial" w:eastAsia="宋体" w:hAnsi="Arial" w:cs="Arial" w:hint="eastAsia"/>
                <w:b/>
                <w:bCs/>
                <w:lang w:val="en-US"/>
              </w:rPr>
              <w:t>MRO for NTN</w:t>
            </w:r>
            <w:r>
              <w:rPr>
                <w:rFonts w:ascii="Arial" w:eastAsia="宋体" w:hAnsi="Arial" w:cs="Arial" w:hint="eastAsia"/>
                <w:lang w:val="en-US"/>
              </w:rPr>
              <w:t xml:space="preserve">, </w:t>
            </w:r>
            <w:r w:rsidRPr="00EF267F">
              <w:rPr>
                <w:rFonts w:ascii="Arial" w:eastAsia="宋体" w:hAnsi="Arial" w:cs="Arial"/>
                <w:lang w:val="en-US"/>
              </w:rPr>
              <w:t xml:space="preserve">RAN3 agreed that UE reports the </w:t>
            </w:r>
            <w:bookmarkStart w:id="2" w:name="_Hlk188350761"/>
            <w:r w:rsidRPr="00EF267F">
              <w:rPr>
                <w:rFonts w:ascii="Arial" w:eastAsia="宋体" w:hAnsi="Arial" w:cs="Arial"/>
                <w:lang w:val="en-US"/>
              </w:rPr>
              <w:t>fulfilled CHO trigger conditions before RLF occurs</w:t>
            </w:r>
            <w:bookmarkEnd w:id="2"/>
            <w:r w:rsidRPr="00EF267F">
              <w:rPr>
                <w:rFonts w:ascii="Arial" w:eastAsia="宋体" w:hAnsi="Arial" w:cs="Arial"/>
                <w:lang w:val="en-US"/>
              </w:rPr>
              <w:t xml:space="preserve"> in case of “time and measurement based trigger condition” or “location and measurement based trigger condition”, it is up to RAN2 to decide to reuse the existing IE or not</w:t>
            </w:r>
            <w:r>
              <w:rPr>
                <w:rFonts w:ascii="Arial" w:eastAsia="宋体" w:hAnsi="Arial" w:cs="Arial"/>
                <w:lang w:val="en-US"/>
              </w:rPr>
              <w:t>.</w:t>
            </w:r>
          </w:p>
          <w:p w14:paraId="65D4F9B8" w14:textId="77777777" w:rsidR="00CF49A9" w:rsidRDefault="00CF49A9" w:rsidP="00CF49A9">
            <w:pPr>
              <w:widowControl w:val="0"/>
              <w:spacing w:after="0"/>
              <w:rPr>
                <w:rFonts w:ascii="Arial" w:eastAsia="宋体" w:hAnsi="Arial" w:cs="Arial"/>
                <w:lang w:val="en-US"/>
              </w:rPr>
            </w:pPr>
          </w:p>
          <w:p w14:paraId="06A1F0D2" w14:textId="743D7674" w:rsidR="00DF0BC6" w:rsidRPr="00CF49A9" w:rsidRDefault="00CF49A9" w:rsidP="00CF49A9">
            <w:pPr>
              <w:widowControl w:val="0"/>
              <w:spacing w:after="0"/>
              <w:rPr>
                <w:rFonts w:ascii="Arial" w:eastAsia="宋体" w:hAnsi="Arial" w:cs="Arial"/>
                <w:lang w:val="en-US"/>
              </w:rPr>
            </w:pPr>
            <w:r>
              <w:rPr>
                <w:rFonts w:ascii="Arial" w:eastAsia="宋体" w:hAnsi="Arial" w:cs="Arial"/>
                <w:lang w:val="en-US"/>
              </w:rPr>
              <w:t>O</w:t>
            </w:r>
            <w:r>
              <w:rPr>
                <w:rFonts w:ascii="Arial" w:eastAsia="宋体" w:hAnsi="Arial" w:cs="Arial" w:hint="eastAsia"/>
                <w:lang w:val="en-US"/>
              </w:rPr>
              <w:t xml:space="preserve">n </w:t>
            </w:r>
            <w:r w:rsidRPr="00AA5AF3">
              <w:rPr>
                <w:rFonts w:ascii="Arial" w:eastAsia="宋体" w:hAnsi="Arial" w:cs="Arial"/>
                <w:b/>
                <w:bCs/>
                <w:lang w:val="en-US"/>
              </w:rPr>
              <w:t>MDT for NTN</w:t>
            </w:r>
            <w:r>
              <w:rPr>
                <w:rFonts w:ascii="Arial" w:eastAsia="宋体" w:hAnsi="Arial" w:cs="Arial"/>
                <w:lang w:val="en-US"/>
              </w:rPr>
              <w:t xml:space="preserve">, </w:t>
            </w:r>
            <w:r w:rsidRPr="005472CA">
              <w:rPr>
                <w:rFonts w:ascii="Arial" w:eastAsia="宋体" w:hAnsi="Arial" w:cs="Arial"/>
                <w:lang w:val="en-US"/>
              </w:rPr>
              <w:t>RAN3 assumes that the geographical area and/or the mapped cell ID can be used as the Area Scope for the logged MDT for NTN over NGAP. Further, RAN3 would like to confirm with RAN2 whether</w:t>
            </w:r>
            <w:bookmarkStart w:id="3" w:name="_Hlk189752756"/>
            <w:r w:rsidRPr="005472CA">
              <w:rPr>
                <w:rFonts w:ascii="Arial" w:eastAsia="宋体" w:hAnsi="Arial" w:cs="Arial"/>
                <w:lang w:val="en-US"/>
              </w:rPr>
              <w:t xml:space="preserve"> the geographical area defined for MBS NTN</w:t>
            </w:r>
            <w:bookmarkEnd w:id="3"/>
            <w:r w:rsidRPr="005472CA">
              <w:rPr>
                <w:rFonts w:ascii="Arial" w:eastAsia="宋体" w:hAnsi="Arial" w:cs="Arial"/>
                <w:lang w:val="en-US"/>
              </w:rPr>
              <w:t xml:space="preserve"> can be reused for Area Scope of logged MDT over Uu for NTN, to help RAN3 decide whether to specify geographical area and/or mapped cell ID over NGAP.</w:t>
            </w:r>
          </w:p>
        </w:tc>
      </w:tr>
      <w:bookmarkEnd w:id="1"/>
    </w:tbl>
    <w:p w14:paraId="0F11B208" w14:textId="77777777" w:rsidR="00CA49F9" w:rsidRDefault="00CA49F9" w:rsidP="00DF0BC6">
      <w:pPr>
        <w:spacing w:after="0"/>
        <w:rPr>
          <w:rFonts w:eastAsiaTheme="minorEastAsia"/>
        </w:rPr>
      </w:pPr>
    </w:p>
    <w:p w14:paraId="21AD53CB" w14:textId="70E3639E" w:rsidR="00DF0BC6" w:rsidRDefault="00CA49F9" w:rsidP="00DF0BC6">
      <w:pPr>
        <w:spacing w:after="0"/>
        <w:rPr>
          <w:rFonts w:eastAsiaTheme="minorEastAsia"/>
        </w:rPr>
      </w:pPr>
      <w:r>
        <w:rPr>
          <w:rFonts w:eastAsiaTheme="minorEastAsia"/>
        </w:rPr>
        <w:t>In the</w:t>
      </w:r>
      <w:r w:rsidR="00E46653">
        <w:rPr>
          <w:rFonts w:eastAsiaTheme="minorEastAsia"/>
        </w:rPr>
        <w:t xml:space="preserve"> last #129 meeting, RAN2 reached agreements on the first LS to reuse the existing IEs for CHO [2]:</w:t>
      </w:r>
    </w:p>
    <w:p w14:paraId="3D7712E3" w14:textId="379ECF79" w:rsidR="00E46653" w:rsidRDefault="00E46653" w:rsidP="00DF0BC6">
      <w:pPr>
        <w:spacing w:after="0"/>
        <w:rPr>
          <w:rFonts w:eastAsiaTheme="minorEastAsia"/>
        </w:rPr>
      </w:pPr>
      <w:r w:rsidRPr="00E46653">
        <w:rPr>
          <w:rFonts w:eastAsiaTheme="minorEastAsia"/>
          <w:noProof/>
        </w:rPr>
        <mc:AlternateContent>
          <mc:Choice Requires="wps">
            <w:drawing>
              <wp:inline distT="0" distB="0" distL="0" distR="0" wp14:anchorId="628A2906" wp14:editId="6D596F35">
                <wp:extent cx="6123214" cy="1404620"/>
                <wp:effectExtent l="0" t="0" r="1143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214" cy="1404620"/>
                        </a:xfrm>
                        <a:prstGeom prst="rect">
                          <a:avLst/>
                        </a:prstGeom>
                        <a:solidFill>
                          <a:srgbClr val="FFFFFF"/>
                        </a:solidFill>
                        <a:ln w="9525">
                          <a:solidFill>
                            <a:srgbClr val="000000"/>
                          </a:solidFill>
                          <a:miter lim="800000"/>
                          <a:headEnd/>
                          <a:tailEnd/>
                        </a:ln>
                      </wps:spPr>
                      <wps:txbx>
                        <w:txbxContent>
                          <w:p w14:paraId="275D0BEA" w14:textId="7844C2F3" w:rsidR="00E46653" w:rsidRPr="00E46653" w:rsidRDefault="00E46653" w:rsidP="00E46653">
                            <w:pPr>
                              <w:pStyle w:val="Agreement"/>
                            </w:pPr>
                            <w:r w:rsidRPr="00140280">
                              <w:t>Existing IEs for CHO are used to report the fulfilled CHO trigger conditions before RLF occurs in case of “time and measurement based trigger condition” or “location and measurement based trigger condition”.</w:t>
                            </w:r>
                          </w:p>
                        </w:txbxContent>
                      </wps:txbx>
                      <wps:bodyPr rot="0" vert="horz" wrap="square" lIns="91440" tIns="45720" rIns="91440" bIns="45720" anchor="t" anchorCtr="0">
                        <a:spAutoFit/>
                      </wps:bodyPr>
                    </wps:wsp>
                  </a:graphicData>
                </a:graphic>
              </wp:inline>
            </w:drawing>
          </mc:Choice>
          <mc:Fallback>
            <w:pict>
              <v:shapetype w14:anchorId="628A2906" id="_x0000_t202" coordsize="21600,21600" o:spt="202" path="m,l,21600r21600,l21600,xe">
                <v:stroke joinstyle="miter"/>
                <v:path gradientshapeok="t" o:connecttype="rect"/>
              </v:shapetype>
              <v:shape id="文本框 2" o:spid="_x0000_s1026" type="#_x0000_t202" style="width:482.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">
                <v:textbox style="mso-fit-shape-to-text:t">
                  <w:txbxContent>
                    <w:p w14:paraId="275D0BEA" w14:textId="7844C2F3" w:rsidR="00E46653" w:rsidRPr="00E46653" w:rsidRDefault="00E46653" w:rsidP="00E46653">
                      <w:pPr>
                        <w:pStyle w:val="Agreement"/>
                        <w:rPr>
                          <w:rFonts w:hint="eastAsia"/>
                        </w:rPr>
                      </w:pPr>
                      <w:r w:rsidRPr="00140280">
                        <w:t xml:space="preserve">Existing IEs for CHO are used to report the fulfilled CHO trigger conditions before RLF occurs in case of “time and </w:t>
                      </w:r>
                      <w:proofErr w:type="gramStart"/>
                      <w:r w:rsidRPr="00140280">
                        <w:t>measurement based</w:t>
                      </w:r>
                      <w:proofErr w:type="gramEnd"/>
                      <w:r w:rsidRPr="00140280">
                        <w:t xml:space="preserve"> trigger condition” or “location and measurement based trigger condition”.</w:t>
                      </w:r>
                    </w:p>
                  </w:txbxContent>
                </v:textbox>
                <w10:anchorlock/>
              </v:shape>
            </w:pict>
          </mc:Fallback>
        </mc:AlternateContent>
      </w:r>
    </w:p>
    <w:p w14:paraId="08926D3F" w14:textId="77777777" w:rsidR="00E46653" w:rsidRPr="00DF0BC6" w:rsidRDefault="00E46653" w:rsidP="00DF0BC6">
      <w:pPr>
        <w:spacing w:after="0"/>
        <w:rPr>
          <w:rFonts w:eastAsiaTheme="minorEastAsia"/>
        </w:rPr>
      </w:pPr>
    </w:p>
    <w:p w14:paraId="3C2FE3D8" w14:textId="42ACF18F" w:rsidR="004C5FEA" w:rsidRDefault="00FF75C2" w:rsidP="004C5FEA">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t>
      </w:r>
      <w:r w:rsidR="00E46653">
        <w:rPr>
          <w:rFonts w:eastAsiaTheme="minorEastAsia"/>
        </w:rPr>
        <w:t>further discuss the second</w:t>
      </w:r>
      <w:r w:rsidR="004C5FEA">
        <w:rPr>
          <w:rFonts w:eastAsiaTheme="minorEastAsia"/>
        </w:rPr>
        <w:t xml:space="preserve"> issue o</w:t>
      </w:r>
      <w:r w:rsidR="00E46653">
        <w:rPr>
          <w:rFonts w:eastAsiaTheme="minorEastAsia"/>
        </w:rPr>
        <w:t xml:space="preserve">f </w:t>
      </w:r>
      <w:r w:rsidR="006B6BEF" w:rsidRPr="006B6BEF">
        <w:rPr>
          <w:rFonts w:eastAsiaTheme="minorEastAsia"/>
        </w:rPr>
        <w:t>MDT for NTN</w:t>
      </w:r>
      <w:r w:rsidR="006B6BEF">
        <w:rPr>
          <w:rFonts w:eastAsiaTheme="minorEastAsia"/>
        </w:rPr>
        <w:t xml:space="preserve"> based on RAN3’s LS.</w:t>
      </w:r>
    </w:p>
    <w:p w14:paraId="3199495D" w14:textId="77777777" w:rsidR="000E080E" w:rsidRPr="004C5FEA" w:rsidRDefault="000E080E" w:rsidP="004C5FEA">
      <w:pPr>
        <w:rPr>
          <w:rFonts w:eastAsiaTheme="minorEastAsia"/>
        </w:rPr>
      </w:pPr>
    </w:p>
    <w:p w14:paraId="0A75EF5E" w14:textId="2A7831E6" w:rsidR="003819EE" w:rsidRPr="00271C68" w:rsidRDefault="00827357" w:rsidP="00271C68">
      <w:pPr>
        <w:pStyle w:val="1"/>
      </w:pPr>
      <w:r w:rsidRPr="003F2D43">
        <w:t>2   Discussion</w:t>
      </w:r>
    </w:p>
    <w:p w14:paraId="53738508" w14:textId="18039456" w:rsidR="00780E59" w:rsidRDefault="004C5FEA" w:rsidP="00780E59">
      <w:pPr>
        <w:spacing w:after="120"/>
        <w:ind w:rightChars="100" w:right="200"/>
        <w:jc w:val="both"/>
      </w:pPr>
      <w:r>
        <w:rPr>
          <w:rFonts w:eastAsiaTheme="minorEastAsia"/>
          <w:bCs/>
        </w:rPr>
        <w:t xml:space="preserve">As for the </w:t>
      </w:r>
      <w:r w:rsidRPr="004C5FEA">
        <w:rPr>
          <w:rFonts w:eastAsiaTheme="minorEastAsia"/>
          <w:bCs/>
        </w:rPr>
        <w:t>Area Scope for the logged MDT for NTN</w:t>
      </w:r>
      <w:r>
        <w:rPr>
          <w:rFonts w:eastAsiaTheme="minorEastAsia"/>
          <w:bCs/>
        </w:rPr>
        <w:t>, considering that</w:t>
      </w:r>
      <w:r w:rsidR="000E080E">
        <w:rPr>
          <w:rFonts w:eastAsiaTheme="minorEastAsia"/>
          <w:bCs/>
        </w:rPr>
        <w:t xml:space="preserve"> 1)</w:t>
      </w:r>
      <w:r>
        <w:rPr>
          <w:rFonts w:eastAsiaTheme="minorEastAsia"/>
          <w:bCs/>
        </w:rPr>
        <w:t xml:space="preserve"> </w:t>
      </w:r>
      <w:r w:rsidR="000E080E">
        <w:rPr>
          <w:rFonts w:eastAsiaTheme="minorEastAsia"/>
          <w:bCs/>
        </w:rPr>
        <w:t xml:space="preserve">the legacy area scope is defined by cell ID, and 2) the area scope in NTN is dynamic and large, the fine-grained </w:t>
      </w:r>
      <w:r w:rsidR="007D1CD7">
        <w:rPr>
          <w:rFonts w:eastAsiaTheme="minorEastAsia"/>
          <w:bCs/>
        </w:rPr>
        <w:t>area scope definition is needed. Additionally, for UEs in idle/inactive state, the NW cannot get the accurate location or speed of UEs. Hence, merely reusing the current definition with some NW-side enhancement may be insufficient</w:t>
      </w:r>
      <w:r w:rsidR="00246C62">
        <w:rPr>
          <w:rFonts w:eastAsiaTheme="minorEastAsia"/>
          <w:bCs/>
        </w:rPr>
        <w:t xml:space="preserve">, and </w:t>
      </w:r>
      <w:r w:rsidR="00246C62" w:rsidRPr="00246C62">
        <w:rPr>
          <w:rFonts w:eastAsiaTheme="minorEastAsia"/>
          <w:bCs/>
        </w:rPr>
        <w:t>the geographical area defined for MBS NTN</w:t>
      </w:r>
      <w:r w:rsidR="00246C62">
        <w:rPr>
          <w:rFonts w:eastAsiaTheme="minorEastAsia"/>
          <w:bCs/>
        </w:rPr>
        <w:t xml:space="preserve"> may be considered to meet such requirements</w:t>
      </w:r>
      <w:r w:rsidR="007D1CD7">
        <w:rPr>
          <w:rFonts w:eastAsiaTheme="minorEastAsia"/>
          <w:bCs/>
        </w:rPr>
        <w:t xml:space="preserve">. Thus, to support the logged MDT for NTN according to RAN3’s LS, </w:t>
      </w:r>
      <w:r w:rsidR="00CE2603">
        <w:rPr>
          <w:rFonts w:eastAsiaTheme="minorEastAsia"/>
          <w:bCs/>
        </w:rPr>
        <w:t>we think the</w:t>
      </w:r>
      <w:r w:rsidR="007D1CD7">
        <w:rPr>
          <w:rFonts w:eastAsiaTheme="minorEastAsia"/>
          <w:bCs/>
        </w:rPr>
        <w:t xml:space="preserve"> </w:t>
      </w:r>
      <w:r w:rsidR="007D1CD7" w:rsidRPr="005A482D">
        <w:t>geographical area (</w:t>
      </w:r>
      <w:r w:rsidR="00CE2603" w:rsidRPr="00856C86">
        <w:rPr>
          <w:i/>
        </w:rPr>
        <w:t>coverageAreaInfoList-r18</w:t>
      </w:r>
      <w:r w:rsidR="00CE2603">
        <w:t xml:space="preserve"> defined in SIB 25</w:t>
      </w:r>
      <w:r w:rsidR="007D1CD7" w:rsidRPr="005A482D">
        <w:t>) is needed</w:t>
      </w:r>
      <w:r w:rsidR="00735F57">
        <w:t>.</w:t>
      </w:r>
    </w:p>
    <w:p w14:paraId="48911422" w14:textId="77777777" w:rsidR="00CE2603" w:rsidRPr="006D0C02" w:rsidRDefault="00CE2603" w:rsidP="00CE2603"/>
    <w:p w14:paraId="00BE33B9" w14:textId="77777777" w:rsidR="00CE2603" w:rsidRPr="00D909F6" w:rsidRDefault="00CE2603" w:rsidP="00D909F6">
      <w:pPr>
        <w:spacing w:after="120"/>
        <w:ind w:rightChars="100" w:right="200"/>
        <w:jc w:val="both"/>
        <w:rPr>
          <w:rFonts w:eastAsiaTheme="minorEastAsia"/>
          <w:b/>
          <w:bCs/>
        </w:rPr>
      </w:pPr>
      <w:bookmarkStart w:id="4" w:name="_Toc185577677"/>
      <w:r w:rsidRPr="00D909F6">
        <w:rPr>
          <w:rFonts w:eastAsiaTheme="minorEastAsia"/>
          <w:b/>
          <w:bCs/>
          <w:sz w:val="24"/>
        </w:rPr>
        <w:t>–</w:t>
      </w:r>
      <w:r w:rsidRPr="00D909F6">
        <w:rPr>
          <w:rFonts w:eastAsiaTheme="minorEastAsia"/>
          <w:b/>
          <w:bCs/>
          <w:sz w:val="24"/>
        </w:rPr>
        <w:tab/>
        <w:t>SIB25</w:t>
      </w:r>
      <w:bookmarkEnd w:id="4"/>
    </w:p>
    <w:p w14:paraId="1BD2EBBE" w14:textId="77777777" w:rsidR="00CE2603" w:rsidRPr="006D0C02" w:rsidRDefault="00CE2603" w:rsidP="00CE2603">
      <w:pPr>
        <w:rPr>
          <w:iCs/>
        </w:rPr>
      </w:pPr>
      <w:r w:rsidRPr="006D0C02">
        <w:rPr>
          <w:i/>
        </w:rPr>
        <w:t>SIB25</w:t>
      </w:r>
      <w:r w:rsidRPr="006D0C02">
        <w:rPr>
          <w:iCs/>
        </w:rPr>
        <w:t xml:space="preserve"> contains TN coverage information to assist neighbour cell measurements for the UEs in an NTN cell.</w:t>
      </w:r>
    </w:p>
    <w:p w14:paraId="05AA9FF6" w14:textId="77777777" w:rsidR="00CE2603" w:rsidRPr="006D0C02" w:rsidRDefault="00CE2603" w:rsidP="00CE2603">
      <w:pPr>
        <w:pStyle w:val="TH"/>
        <w:rPr>
          <w:b w:val="0"/>
          <w:bCs/>
          <w:iCs/>
        </w:rPr>
      </w:pPr>
      <w:r w:rsidRPr="006D0C02">
        <w:rPr>
          <w:bCs/>
          <w:i/>
          <w:iCs/>
        </w:rPr>
        <w:t xml:space="preserve">SIB25 </w:t>
      </w:r>
      <w:r w:rsidRPr="006D0C02">
        <w:t>information</w:t>
      </w:r>
      <w:r w:rsidRPr="006D0C02">
        <w:rPr>
          <w:bCs/>
          <w:iCs/>
        </w:rPr>
        <w:t xml:space="preserve"> element</w:t>
      </w:r>
    </w:p>
    <w:p w14:paraId="7DC7475D" w14:textId="77777777" w:rsidR="00CE2603" w:rsidRPr="006D0C02" w:rsidRDefault="00CE2603" w:rsidP="00CE2603">
      <w:pPr>
        <w:pStyle w:val="PL"/>
        <w:rPr>
          <w:color w:val="808080"/>
        </w:rPr>
      </w:pPr>
      <w:r w:rsidRPr="006D0C02">
        <w:rPr>
          <w:color w:val="808080"/>
        </w:rPr>
        <w:t>-- ASN1START</w:t>
      </w:r>
    </w:p>
    <w:p w14:paraId="6109BCAC" w14:textId="77777777" w:rsidR="00CE2603" w:rsidRPr="006D0C02" w:rsidRDefault="00CE2603" w:rsidP="00CE2603">
      <w:pPr>
        <w:pStyle w:val="PL"/>
        <w:rPr>
          <w:color w:val="808080"/>
        </w:rPr>
      </w:pPr>
      <w:r w:rsidRPr="006D0C02">
        <w:rPr>
          <w:color w:val="808080"/>
        </w:rPr>
        <w:t>-- TAG-SIB25-START</w:t>
      </w:r>
    </w:p>
    <w:p w14:paraId="4D97FAB6" w14:textId="77777777" w:rsidR="00CE2603" w:rsidRPr="006D0C02" w:rsidRDefault="00CE2603" w:rsidP="00CE2603">
      <w:pPr>
        <w:pStyle w:val="PL"/>
      </w:pPr>
    </w:p>
    <w:p w14:paraId="5A79E4FE" w14:textId="77777777" w:rsidR="00CE2603" w:rsidRPr="006D0C02" w:rsidRDefault="00CE2603" w:rsidP="00CE2603">
      <w:pPr>
        <w:pStyle w:val="PL"/>
      </w:pPr>
      <w:r w:rsidRPr="006D0C02">
        <w:t xml:space="preserve">SIB25-r18 ::=                  </w:t>
      </w:r>
      <w:r w:rsidRPr="006D0C02">
        <w:rPr>
          <w:color w:val="993366"/>
        </w:rPr>
        <w:t>SEQUENCE</w:t>
      </w:r>
      <w:r w:rsidRPr="006D0C02">
        <w:t xml:space="preserve"> {</w:t>
      </w:r>
    </w:p>
    <w:p w14:paraId="1152CC0D" w14:textId="77777777" w:rsidR="00CE2603" w:rsidRPr="006D0C02" w:rsidRDefault="00CE2603" w:rsidP="00CE2603">
      <w:pPr>
        <w:pStyle w:val="PL"/>
        <w:rPr>
          <w:color w:val="808080"/>
        </w:rPr>
      </w:pPr>
      <w:r w:rsidRPr="006D0C02">
        <w:t xml:space="preserve">    coverageAreaInfoList-r18       CoverageAreaInfoList-r18         </w:t>
      </w:r>
      <w:r w:rsidRPr="006D0C02">
        <w:rPr>
          <w:color w:val="993366"/>
        </w:rPr>
        <w:t>OPTIONAL</w:t>
      </w:r>
      <w:r w:rsidRPr="006D0C02">
        <w:t xml:space="preserve">,  </w:t>
      </w:r>
      <w:r w:rsidRPr="006D0C02">
        <w:rPr>
          <w:color w:val="808080"/>
        </w:rPr>
        <w:t>-- Need R</w:t>
      </w:r>
    </w:p>
    <w:p w14:paraId="306AD827" w14:textId="77777777" w:rsidR="00CE2603" w:rsidRPr="006D0C02" w:rsidRDefault="00CE2603" w:rsidP="00CE2603">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0DF32A4F" w14:textId="77777777" w:rsidR="00CE2603" w:rsidRPr="006D0C02" w:rsidRDefault="00CE2603" w:rsidP="00CE2603">
      <w:pPr>
        <w:pStyle w:val="PL"/>
      </w:pPr>
      <w:r w:rsidRPr="006D0C02">
        <w:t xml:space="preserve">    ...</w:t>
      </w:r>
    </w:p>
    <w:p w14:paraId="44AADFE2" w14:textId="77777777" w:rsidR="00CE2603" w:rsidRPr="006D0C02" w:rsidRDefault="00CE2603" w:rsidP="00CE2603">
      <w:pPr>
        <w:pStyle w:val="PL"/>
      </w:pPr>
      <w:r w:rsidRPr="006D0C02">
        <w:lastRenderedPageBreak/>
        <w:t>}</w:t>
      </w:r>
    </w:p>
    <w:p w14:paraId="6A5BAA01" w14:textId="77777777" w:rsidR="00CE2603" w:rsidRPr="006D0C02" w:rsidRDefault="00CE2603" w:rsidP="00CE2603">
      <w:pPr>
        <w:pStyle w:val="PL"/>
      </w:pPr>
    </w:p>
    <w:p w14:paraId="5995DE73" w14:textId="77777777" w:rsidR="00CE2603" w:rsidRPr="006D0C02" w:rsidRDefault="00CE2603" w:rsidP="00CE2603">
      <w:pPr>
        <w:pStyle w:val="PL"/>
      </w:pPr>
      <w:r w:rsidRPr="006D0C02">
        <w:t xml:space="preserve">CoverageAreaInfoList-r18 ::=   </w:t>
      </w:r>
      <w:r w:rsidRPr="006D0C02">
        <w:rPr>
          <w:color w:val="993366"/>
        </w:rPr>
        <w:t>SEQUENCE</w:t>
      </w:r>
      <w:r w:rsidRPr="006D0C02">
        <w:t xml:space="preserve"> (</w:t>
      </w:r>
      <w:r w:rsidRPr="006D0C02">
        <w:rPr>
          <w:color w:val="993366"/>
        </w:rPr>
        <w:t>SIZE</w:t>
      </w:r>
      <w:r w:rsidRPr="006D0C02">
        <w:t xml:space="preserve"> (1..maxTN-AreaInfo-r18))</w:t>
      </w:r>
      <w:r w:rsidRPr="006D0C02">
        <w:rPr>
          <w:color w:val="993366"/>
        </w:rPr>
        <w:t xml:space="preserve"> OF</w:t>
      </w:r>
      <w:r w:rsidRPr="006D0C02">
        <w:t xml:space="preserve"> CoverageAreaInfo-r18</w:t>
      </w:r>
    </w:p>
    <w:p w14:paraId="6583C5CE" w14:textId="77777777" w:rsidR="00CE2603" w:rsidRPr="006D0C02" w:rsidRDefault="00CE2603" w:rsidP="00CE2603">
      <w:pPr>
        <w:pStyle w:val="PL"/>
      </w:pPr>
    </w:p>
    <w:p w14:paraId="0B485C7C" w14:textId="77777777" w:rsidR="00CE2603" w:rsidRPr="006D0C02" w:rsidRDefault="00CE2603" w:rsidP="00CE2603">
      <w:pPr>
        <w:pStyle w:val="PL"/>
      </w:pPr>
      <w:r w:rsidRPr="006D0C02">
        <w:t xml:space="preserve">CoverageAreaInfo-r18 ::=       </w:t>
      </w:r>
      <w:r w:rsidRPr="006D0C02">
        <w:rPr>
          <w:color w:val="993366"/>
        </w:rPr>
        <w:t>SEQUENCE</w:t>
      </w:r>
      <w:r w:rsidRPr="006D0C02">
        <w:t xml:space="preserve"> {</w:t>
      </w:r>
    </w:p>
    <w:p w14:paraId="7210C30E" w14:textId="77777777" w:rsidR="00CE2603" w:rsidRPr="006D0C02" w:rsidRDefault="00CE2603" w:rsidP="00CE2603">
      <w:pPr>
        <w:pStyle w:val="PL"/>
      </w:pPr>
      <w:r w:rsidRPr="006D0C02">
        <w:t xml:space="preserve">    tn-AreaId-r18                  TN-AreaId-r18,</w:t>
      </w:r>
    </w:p>
    <w:p w14:paraId="0817F144" w14:textId="77777777" w:rsidR="00CE2603" w:rsidRPr="006D0C02" w:rsidRDefault="00CE2603" w:rsidP="00CE2603">
      <w:pPr>
        <w:pStyle w:val="PL"/>
      </w:pPr>
      <w:r w:rsidRPr="006D0C02">
        <w:t xml:space="preserve">    tn-ReferenceLocation-r18       ReferenceLocation-r17,</w:t>
      </w:r>
    </w:p>
    <w:p w14:paraId="198F76E0" w14:textId="77777777" w:rsidR="00CE2603" w:rsidRPr="006D0C02" w:rsidRDefault="00CE2603" w:rsidP="00CE2603">
      <w:pPr>
        <w:pStyle w:val="PL"/>
      </w:pPr>
      <w:r w:rsidRPr="006D0C02">
        <w:t xml:space="preserve">    tn-DistanceRadius-r18          </w:t>
      </w:r>
      <w:r w:rsidRPr="006D0C02">
        <w:rPr>
          <w:color w:val="993366"/>
        </w:rPr>
        <w:t>INTEGER</w:t>
      </w:r>
      <w:r w:rsidRPr="006D0C02">
        <w:t>(0..65535)</w:t>
      </w:r>
    </w:p>
    <w:p w14:paraId="2FD0398E" w14:textId="77777777" w:rsidR="00CE2603" w:rsidRPr="006D0C02" w:rsidRDefault="00CE2603" w:rsidP="00CE2603">
      <w:pPr>
        <w:pStyle w:val="PL"/>
      </w:pPr>
      <w:r w:rsidRPr="006D0C02">
        <w:t>}</w:t>
      </w:r>
    </w:p>
    <w:p w14:paraId="623CCFAE" w14:textId="77777777" w:rsidR="00CE2603" w:rsidRPr="006D0C02" w:rsidRDefault="00CE2603" w:rsidP="00CE2603">
      <w:pPr>
        <w:pStyle w:val="PL"/>
      </w:pPr>
    </w:p>
    <w:p w14:paraId="51F830E8" w14:textId="77777777" w:rsidR="00CE2603" w:rsidRPr="006D0C02" w:rsidRDefault="00CE2603" w:rsidP="00CE2603">
      <w:pPr>
        <w:pStyle w:val="PL"/>
        <w:rPr>
          <w:color w:val="808080"/>
        </w:rPr>
      </w:pPr>
      <w:r w:rsidRPr="006D0C02">
        <w:rPr>
          <w:color w:val="808080"/>
        </w:rPr>
        <w:t>-- TAG-SIB25-STOP</w:t>
      </w:r>
    </w:p>
    <w:p w14:paraId="3979274C" w14:textId="77777777" w:rsidR="00CE2603" w:rsidRPr="006D0C02" w:rsidRDefault="00CE2603" w:rsidP="00CE2603">
      <w:pPr>
        <w:pStyle w:val="PL"/>
        <w:rPr>
          <w:color w:val="808080"/>
        </w:rPr>
      </w:pPr>
      <w:r w:rsidRPr="006D0C02">
        <w:rPr>
          <w:color w:val="808080"/>
        </w:rPr>
        <w:t>-- ASN1STOP</w:t>
      </w:r>
    </w:p>
    <w:p w14:paraId="77E5617A" w14:textId="77777777" w:rsidR="00CE2603" w:rsidRPr="006D0C02" w:rsidRDefault="00CE2603" w:rsidP="00CE2603">
      <w:pPr>
        <w:rPr>
          <w:lang w:eastAsia="en-GB"/>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959"/>
      </w:tblGrid>
      <w:tr w:rsidR="00CE2603" w:rsidRPr="006D0C02" w14:paraId="7448FE68" w14:textId="77777777" w:rsidTr="00D909F6">
        <w:trPr>
          <w:cantSplit/>
          <w:tblHeader/>
        </w:trPr>
        <w:tc>
          <w:tcPr>
            <w:tcW w:w="8959" w:type="dxa"/>
          </w:tcPr>
          <w:p w14:paraId="35D9817A" w14:textId="77777777" w:rsidR="00CE2603" w:rsidRPr="006D0C02" w:rsidRDefault="00CE2603" w:rsidP="00713479">
            <w:pPr>
              <w:pStyle w:val="TAH"/>
              <w:rPr>
                <w:b w:val="0"/>
              </w:rPr>
            </w:pPr>
            <w:r w:rsidRPr="006D0C02">
              <w:rPr>
                <w:i/>
                <w:iCs/>
              </w:rPr>
              <w:t xml:space="preserve">SIB25 </w:t>
            </w:r>
            <w:r w:rsidRPr="006D0C02">
              <w:t>field</w:t>
            </w:r>
            <w:r w:rsidRPr="006D0C02">
              <w:rPr>
                <w:iCs/>
              </w:rPr>
              <w:t xml:space="preserve"> descriptions</w:t>
            </w:r>
          </w:p>
        </w:tc>
      </w:tr>
      <w:tr w:rsidR="00CE2603" w:rsidRPr="006D0C02" w14:paraId="3CC21D60" w14:textId="77777777" w:rsidTr="00D909F6">
        <w:trPr>
          <w:cantSplit/>
          <w:tblHeader/>
        </w:trPr>
        <w:tc>
          <w:tcPr>
            <w:tcW w:w="8959" w:type="dxa"/>
          </w:tcPr>
          <w:p w14:paraId="2F54DADC" w14:textId="77777777" w:rsidR="00CE2603" w:rsidRPr="006D0C02" w:rsidRDefault="00CE2603" w:rsidP="00713479">
            <w:pPr>
              <w:pStyle w:val="TAL"/>
              <w:rPr>
                <w:b/>
                <w:bCs/>
                <w:i/>
                <w:lang w:eastAsia="en-GB"/>
              </w:rPr>
            </w:pPr>
            <w:r w:rsidRPr="006D0C02">
              <w:rPr>
                <w:b/>
                <w:bCs/>
                <w:i/>
                <w:lang w:eastAsia="en-GB"/>
              </w:rPr>
              <w:t>coverageAreaInfoList</w:t>
            </w:r>
          </w:p>
          <w:p w14:paraId="655D0628" w14:textId="77777777" w:rsidR="00CE2603" w:rsidRPr="006D0C02" w:rsidRDefault="00CE2603" w:rsidP="00713479">
            <w:pPr>
              <w:pStyle w:val="TAL"/>
              <w:rPr>
                <w:iCs/>
                <w:lang w:eastAsia="en-GB"/>
              </w:rPr>
            </w:pPr>
            <w:r w:rsidRPr="006D0C02">
              <w:rPr>
                <w:lang w:eastAsia="en-GB"/>
              </w:rPr>
              <w:t>Contains</w:t>
            </w:r>
            <w:r w:rsidRPr="006D0C02">
              <w:rPr>
                <w:iCs/>
                <w:lang w:eastAsia="en-GB"/>
              </w:rPr>
              <w:t xml:space="preserve"> a list of TN coverage area's information to assist skipping TN measurements for NTN UEs in RRC_IDLE and RRC_INACTIVE, as defined in TS 38.304 [20].</w:t>
            </w:r>
          </w:p>
        </w:tc>
      </w:tr>
      <w:tr w:rsidR="00CE2603" w:rsidRPr="006D0C02" w14:paraId="43C2C1B4" w14:textId="77777777" w:rsidTr="00D909F6">
        <w:trPr>
          <w:cantSplit/>
          <w:tblHeader/>
        </w:trPr>
        <w:tc>
          <w:tcPr>
            <w:tcW w:w="8959" w:type="dxa"/>
          </w:tcPr>
          <w:p w14:paraId="7DEDB47A" w14:textId="77777777" w:rsidR="00CE2603" w:rsidRPr="006D0C02" w:rsidRDefault="00CE2603" w:rsidP="00713479">
            <w:pPr>
              <w:pStyle w:val="TAL"/>
              <w:rPr>
                <w:b/>
                <w:bCs/>
                <w:i/>
                <w:lang w:eastAsia="en-GB"/>
              </w:rPr>
            </w:pPr>
            <w:r w:rsidRPr="006D0C02">
              <w:rPr>
                <w:b/>
                <w:bCs/>
                <w:i/>
                <w:lang w:eastAsia="en-GB"/>
              </w:rPr>
              <w:t>tn-DistanceRadius</w:t>
            </w:r>
          </w:p>
          <w:p w14:paraId="2331ACE6" w14:textId="77777777" w:rsidR="00CE2603" w:rsidRPr="006D0C02" w:rsidRDefault="00CE2603" w:rsidP="00713479">
            <w:pPr>
              <w:pStyle w:val="TAL"/>
              <w:rPr>
                <w:iCs/>
                <w:lang w:eastAsia="en-GB"/>
              </w:rPr>
            </w:pPr>
            <w:r w:rsidRPr="006D0C02">
              <w:rPr>
                <w:iCs/>
                <w:lang w:eastAsia="en-GB"/>
              </w:rPr>
              <w:t>Distance from the TN coverage area reference location. It is used for skipping TN measurements in RRC_IDLE and RRC_INACTIVE, as defined in TS 38.304 [20]. Each step represents 1m.</w:t>
            </w:r>
          </w:p>
        </w:tc>
      </w:tr>
    </w:tbl>
    <w:p w14:paraId="612F66BB" w14:textId="3A96B148" w:rsidR="00CE2603" w:rsidRDefault="00CE2603" w:rsidP="00780E59">
      <w:pPr>
        <w:spacing w:after="120"/>
        <w:ind w:rightChars="100" w:right="200"/>
        <w:jc w:val="both"/>
        <w:rPr>
          <w:rFonts w:eastAsiaTheme="minorEastAsia"/>
          <w:bCs/>
        </w:rPr>
      </w:pPr>
    </w:p>
    <w:p w14:paraId="7A56576B" w14:textId="77777777" w:rsidR="001A1C2D" w:rsidRDefault="00C05D93" w:rsidP="00F15193">
      <w:pPr>
        <w:spacing w:after="120"/>
        <w:ind w:rightChars="100" w:right="200"/>
        <w:jc w:val="both"/>
        <w:rPr>
          <w:rFonts w:eastAsiaTheme="minorEastAsia"/>
          <w:bCs/>
        </w:rPr>
      </w:pPr>
      <w:r>
        <w:rPr>
          <w:rFonts w:eastAsiaTheme="minorEastAsia"/>
          <w:bCs/>
        </w:rPr>
        <w:t>Hence, we proposed to reuse the</w:t>
      </w:r>
      <w:r w:rsidRPr="00C05D93">
        <w:t xml:space="preserve"> </w:t>
      </w:r>
      <w:r w:rsidRPr="00C05D93">
        <w:rPr>
          <w:rFonts w:eastAsiaTheme="minorEastAsia"/>
          <w:bCs/>
        </w:rPr>
        <w:t>geographical area defined for MBS NTN for Area Scope of logged MDT over Uu for NTN.</w:t>
      </w:r>
      <w:r w:rsidR="00F15193">
        <w:rPr>
          <w:rFonts w:eastAsiaTheme="minorEastAsia"/>
          <w:bCs/>
        </w:rPr>
        <w:t xml:space="preserve"> </w:t>
      </w:r>
    </w:p>
    <w:p w14:paraId="755108C1" w14:textId="5ADB03B2" w:rsidR="001A1C2D" w:rsidRDefault="001A1C2D" w:rsidP="00F15193">
      <w:pPr>
        <w:spacing w:after="120"/>
        <w:ind w:rightChars="100" w:right="200"/>
        <w:jc w:val="both"/>
        <w:rPr>
          <w:rFonts w:eastAsiaTheme="minorEastAsia"/>
        </w:rPr>
      </w:pPr>
      <w:r>
        <w:rPr>
          <w:rFonts w:eastAsiaTheme="minorEastAsia" w:hint="eastAsia"/>
        </w:rPr>
        <w:t>A</w:t>
      </w:r>
      <w:r>
        <w:rPr>
          <w:rFonts w:eastAsiaTheme="minorEastAsia"/>
        </w:rPr>
        <w:t xml:space="preserve">t RAN2#129 meeting, some companies were concerned about UE impacts due to geographical area checking </w:t>
      </w:r>
      <w:r w:rsidR="00BB375E">
        <w:rPr>
          <w:rFonts w:eastAsiaTheme="minorEastAsia"/>
        </w:rPr>
        <w:t>in MDT for NTN</w:t>
      </w:r>
      <w:r>
        <w:rPr>
          <w:rFonts w:eastAsiaTheme="minorEastAsia"/>
        </w:rPr>
        <w:t>, e.g. this would drain the UE battery.</w:t>
      </w:r>
    </w:p>
    <w:p w14:paraId="1345702D" w14:textId="574943D2" w:rsidR="00F15193" w:rsidRDefault="00C32376" w:rsidP="00C32376">
      <w:pPr>
        <w:spacing w:after="120"/>
        <w:ind w:rightChars="100" w:right="200"/>
        <w:jc w:val="both"/>
        <w:rPr>
          <w:rFonts w:eastAsiaTheme="minorEastAsia"/>
        </w:rPr>
      </w:pPr>
      <w:r>
        <w:rPr>
          <w:rFonts w:eastAsiaTheme="minorEastAsia" w:hint="eastAsia"/>
        </w:rPr>
        <w:t>F</w:t>
      </w:r>
      <w:r>
        <w:rPr>
          <w:rFonts w:eastAsiaTheme="minorEastAsia"/>
        </w:rPr>
        <w:t>irstly, we think this geographical area checking has been introduced in MBS for NTN, and here are relevant agreements made at RAN2#127 [3]:</w:t>
      </w:r>
    </w:p>
    <w:p w14:paraId="67F95F1D" w14:textId="04A6C776" w:rsidR="00AC4172" w:rsidRPr="002A08EF" w:rsidRDefault="00AC4172" w:rsidP="00F15193">
      <w:pPr>
        <w:spacing w:after="120"/>
        <w:ind w:rightChars="100" w:right="200"/>
        <w:jc w:val="both"/>
        <w:rPr>
          <w:rFonts w:eastAsiaTheme="minorEastAsia"/>
        </w:rPr>
      </w:pPr>
      <w:r w:rsidRPr="00E46653">
        <w:rPr>
          <w:rFonts w:eastAsiaTheme="minorEastAsia"/>
          <w:noProof/>
        </w:rPr>
        <mc:AlternateContent>
          <mc:Choice Requires="wps">
            <w:drawing>
              <wp:inline distT="0" distB="0" distL="0" distR="0" wp14:anchorId="0D3EAA59" wp14:editId="01849B38">
                <wp:extent cx="6120765" cy="597984"/>
                <wp:effectExtent l="0" t="0" r="13335"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7984"/>
                        </a:xfrm>
                        <a:prstGeom prst="rect">
                          <a:avLst/>
                        </a:prstGeom>
                        <a:solidFill>
                          <a:srgbClr val="FFFFFF"/>
                        </a:solidFill>
                        <a:ln w="9525">
                          <a:solidFill>
                            <a:srgbClr val="000000"/>
                          </a:solidFill>
                          <a:miter lim="800000"/>
                          <a:headEnd/>
                          <a:tailEnd/>
                        </a:ln>
                      </wps:spPr>
                      <wps:txbx>
                        <w:txbxContent>
                          <w:p w14:paraId="44634219" w14:textId="77777777" w:rsidR="00AC4172" w:rsidRPr="00AC4172" w:rsidRDefault="00AC4172" w:rsidP="00AC4172">
                            <w:pPr>
                              <w:pStyle w:val="Agreement"/>
                            </w:pPr>
                            <w:r w:rsidRPr="00AC4172">
                              <w:t>For an MBS broadcast service intended for a certain area, a R19 UE supporting the feature should not establish MRB(s) for the MBS session associated to the intended area when it is outside the intended area (capture this in Stage 2)</w:t>
                            </w:r>
                          </w:p>
                          <w:p w14:paraId="048198F8" w14:textId="2F45FA94" w:rsidR="00AC4172" w:rsidRPr="00E46653" w:rsidRDefault="00AC4172" w:rsidP="00AC4172">
                            <w:pPr>
                              <w:pStyle w:val="Agreement"/>
                            </w:pPr>
                            <w:r w:rsidRPr="00AC4172">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xbxContent>
                      </wps:txbx>
                      <wps:bodyPr rot="0" vert="horz" wrap="square" lIns="91440" tIns="45720" rIns="91440" bIns="45720" anchor="t" anchorCtr="0">
                        <a:spAutoFit/>
                      </wps:bodyPr>
                    </wps:wsp>
                  </a:graphicData>
                </a:graphic>
              </wp:inline>
            </w:drawing>
          </mc:Choice>
          <mc:Fallback>
            <w:pict>
              <v:shapetype w14:anchorId="0D3EAA59" id="_x0000_t202" coordsize="21600,21600" o:spt="202" path="m,l,21600r21600,l21600,xe">
                <v:stroke joinstyle="miter"/>
                <v:path gradientshapeok="t" o:connecttype="rect"/>
              </v:shapetype>
              <v:shape id="_x0000_s1027" type="#_x0000_t202" style="width:481.95pt;height: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">
                <v:textbox style="mso-fit-shape-to-text:t">
                  <w:txbxContent>
                    <w:p w14:paraId="44634219" w14:textId="77777777" w:rsidR="00AC4172" w:rsidRPr="00AC4172" w:rsidRDefault="00AC4172" w:rsidP="00AC4172">
                      <w:pPr>
                        <w:pStyle w:val="Agreement"/>
                      </w:pPr>
                      <w:r w:rsidRPr="00AC4172">
                        <w:t>For an MBS broadcast service intended for a certain area, a R19</w:t>
                      </w:r>
                      <w:bookmarkStart w:id="5" w:name="_GoBack"/>
                      <w:bookmarkEnd w:id="5"/>
                      <w:r w:rsidRPr="00AC4172">
                        <w:t xml:space="preserve"> UE supporting the feature should not establish MRB(s) for the MBS session associated to the intended area when it is outside the intended area (capture this in Stage 2)</w:t>
                      </w:r>
                    </w:p>
                    <w:p w14:paraId="048198F8" w14:textId="2F45FA94" w:rsidR="00AC4172" w:rsidRPr="00E46653" w:rsidRDefault="00AC4172" w:rsidP="00AC4172">
                      <w:pPr>
                        <w:pStyle w:val="Agreement"/>
                      </w:pPr>
                      <w:r w:rsidRPr="00AC4172">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xbxContent>
                </v:textbox>
                <w10:anchorlock/>
              </v:shape>
            </w:pict>
          </mc:Fallback>
        </mc:AlternateContent>
      </w:r>
    </w:p>
    <w:p w14:paraId="36D1F20D" w14:textId="7AA2C320" w:rsidR="004C070E" w:rsidRDefault="004C070E" w:rsidP="008278DF">
      <w:pPr>
        <w:rPr>
          <w:rFonts w:eastAsiaTheme="minorEastAsia"/>
          <w:bCs/>
        </w:rPr>
      </w:pPr>
    </w:p>
    <w:p w14:paraId="620CCEFA" w14:textId="2756ECF9" w:rsidR="003F0A12" w:rsidRDefault="001F2813" w:rsidP="008278DF">
      <w:pPr>
        <w:rPr>
          <w:rFonts w:eastAsiaTheme="minorEastAsia"/>
        </w:rPr>
      </w:pPr>
      <w:r>
        <w:rPr>
          <w:rFonts w:eastAsiaTheme="minorEastAsia" w:hint="eastAsia"/>
          <w:bCs/>
        </w:rPr>
        <w:t>I</w:t>
      </w:r>
      <w:r>
        <w:rPr>
          <w:rFonts w:eastAsiaTheme="minorEastAsia"/>
          <w:bCs/>
        </w:rPr>
        <w:t xml:space="preserve">t can be seen that this feature is only applicable for NTN UEs and there should be uniform UE behaviours regarding </w:t>
      </w:r>
      <w:r>
        <w:rPr>
          <w:rFonts w:eastAsiaTheme="minorEastAsia"/>
        </w:rPr>
        <w:t>geographical area checking, so the UE impacts should be minimized.</w:t>
      </w:r>
    </w:p>
    <w:p w14:paraId="5124A646" w14:textId="52FBF79C" w:rsidR="004C070E" w:rsidRDefault="003F0A12" w:rsidP="008278DF">
      <w:pPr>
        <w:rPr>
          <w:rFonts w:eastAsiaTheme="minorEastAsia"/>
        </w:rPr>
      </w:pPr>
      <w:r>
        <w:rPr>
          <w:rFonts w:eastAsiaTheme="minorEastAsia"/>
        </w:rPr>
        <w:t xml:space="preserve">Secondly, </w:t>
      </w:r>
      <w:r w:rsidR="001F2813">
        <w:rPr>
          <w:rFonts w:eastAsiaTheme="minorEastAsia"/>
        </w:rPr>
        <w:t xml:space="preserve">we think that the UE is not always required to get position information for this feature, </w:t>
      </w:r>
      <w:r w:rsidR="00CA109B">
        <w:rPr>
          <w:rFonts w:eastAsiaTheme="minorEastAsia"/>
        </w:rPr>
        <w:t xml:space="preserve">so we can discuss UE behaviours to minimize </w:t>
      </w:r>
      <w:r w:rsidR="00BF3EA0">
        <w:rPr>
          <w:rFonts w:eastAsiaTheme="minorEastAsia"/>
        </w:rPr>
        <w:t>negative impacts, e.g. the UE performs geographical area checking only if it has available position information</w:t>
      </w:r>
      <w:r w:rsidR="001F2813">
        <w:rPr>
          <w:rFonts w:eastAsiaTheme="minorEastAsia"/>
        </w:rPr>
        <w:t>.</w:t>
      </w:r>
    </w:p>
    <w:p w14:paraId="1BF2EC4E" w14:textId="073BF701" w:rsidR="00B74350" w:rsidRDefault="00B74350" w:rsidP="008278DF">
      <w:pPr>
        <w:rPr>
          <w:rFonts w:eastAsiaTheme="minorEastAsia"/>
          <w:bCs/>
        </w:rPr>
      </w:pPr>
      <w:r>
        <w:rPr>
          <w:rFonts w:eastAsiaTheme="minorEastAsia" w:hint="eastAsia"/>
          <w:bCs/>
        </w:rPr>
        <w:t>I</w:t>
      </w:r>
      <w:r>
        <w:rPr>
          <w:rFonts w:eastAsiaTheme="minorEastAsia"/>
          <w:bCs/>
        </w:rPr>
        <w:t>n summary, we have the following observation</w:t>
      </w:r>
      <w:r w:rsidR="00125AF7">
        <w:rPr>
          <w:rFonts w:eastAsiaTheme="minorEastAsia"/>
          <w:bCs/>
        </w:rPr>
        <w:t>s</w:t>
      </w:r>
      <w:r>
        <w:rPr>
          <w:rFonts w:eastAsiaTheme="minorEastAsia"/>
          <w:bCs/>
        </w:rPr>
        <w:t>:</w:t>
      </w:r>
    </w:p>
    <w:p w14:paraId="2CD6B591" w14:textId="3FC0555A" w:rsidR="00AC4172" w:rsidRDefault="00C94C82" w:rsidP="00780E59">
      <w:pPr>
        <w:spacing w:after="120"/>
        <w:ind w:rightChars="100" w:right="200"/>
        <w:jc w:val="both"/>
        <w:rPr>
          <w:rFonts w:eastAsiaTheme="minorEastAsia"/>
          <w:b/>
        </w:rPr>
      </w:pPr>
      <w:r>
        <w:rPr>
          <w:rFonts w:eastAsiaTheme="minorEastAsia"/>
          <w:b/>
        </w:rPr>
        <w:t>Observation 1</w:t>
      </w:r>
      <w:r w:rsidRPr="00CB7602">
        <w:rPr>
          <w:rFonts w:eastAsiaTheme="minorEastAsia"/>
          <w:b/>
        </w:rPr>
        <w:t xml:space="preserve">: </w:t>
      </w:r>
      <w:r w:rsidR="00B74350">
        <w:rPr>
          <w:rFonts w:eastAsiaTheme="minorEastAsia"/>
          <w:b/>
        </w:rPr>
        <w:t xml:space="preserve">The UE behaviour of checking </w:t>
      </w:r>
      <w:r w:rsidR="00B74350" w:rsidRPr="00B74350">
        <w:rPr>
          <w:rFonts w:eastAsiaTheme="minorEastAsia"/>
          <w:b/>
        </w:rPr>
        <w:t>the geographical area</w:t>
      </w:r>
      <w:r w:rsidR="00B74350">
        <w:rPr>
          <w:rFonts w:eastAsiaTheme="minorEastAsia"/>
          <w:b/>
        </w:rPr>
        <w:t xml:space="preserve"> in MDT for NTN</w:t>
      </w:r>
      <w:r w:rsidR="00B55D91">
        <w:rPr>
          <w:rFonts w:eastAsiaTheme="minorEastAsia"/>
          <w:b/>
        </w:rPr>
        <w:t xml:space="preserve"> can follow RAN2 agreements in </w:t>
      </w:r>
      <w:r w:rsidR="00B55D91" w:rsidRPr="00B55D91">
        <w:rPr>
          <w:rFonts w:eastAsiaTheme="minorEastAsia"/>
          <w:b/>
        </w:rPr>
        <w:t>MBS for NTN</w:t>
      </w:r>
      <w:r>
        <w:rPr>
          <w:rFonts w:eastAsiaTheme="minorEastAsia"/>
          <w:b/>
        </w:rPr>
        <w:t>.</w:t>
      </w:r>
    </w:p>
    <w:p w14:paraId="2FDA215D" w14:textId="01CC1545" w:rsidR="00EB5E8D" w:rsidRPr="00C94C82" w:rsidRDefault="00EB5E8D" w:rsidP="00780E59">
      <w:pPr>
        <w:spacing w:after="120"/>
        <w:ind w:rightChars="100" w:right="200"/>
        <w:jc w:val="both"/>
        <w:rPr>
          <w:rFonts w:eastAsiaTheme="minorEastAsia"/>
          <w:b/>
        </w:rPr>
      </w:pPr>
      <w:r>
        <w:rPr>
          <w:rFonts w:eastAsiaTheme="minorEastAsia"/>
          <w:b/>
        </w:rPr>
        <w:t xml:space="preserve">Observation 2: </w:t>
      </w:r>
      <w:r w:rsidR="00941922">
        <w:rPr>
          <w:rFonts w:eastAsiaTheme="minorEastAsia"/>
          <w:b/>
        </w:rPr>
        <w:t>The negative impacts can be minimized</w:t>
      </w:r>
      <w:r w:rsidR="005C1919">
        <w:rPr>
          <w:rFonts w:eastAsiaTheme="minorEastAsia"/>
          <w:b/>
        </w:rPr>
        <w:t xml:space="preserve"> by some means, e.g.</w:t>
      </w:r>
      <w:r w:rsidR="00941922">
        <w:rPr>
          <w:rFonts w:eastAsiaTheme="minorEastAsia"/>
          <w:b/>
        </w:rPr>
        <w:t xml:space="preserve"> </w:t>
      </w:r>
      <w:r w:rsidR="00941922" w:rsidRPr="00941922">
        <w:rPr>
          <w:rFonts w:eastAsiaTheme="minorEastAsia"/>
          <w:b/>
        </w:rPr>
        <w:t>the UE performs geographical area checking only if it has available position information</w:t>
      </w:r>
      <w:r w:rsidR="00941922">
        <w:rPr>
          <w:rFonts w:eastAsiaTheme="minorEastAsia"/>
          <w:b/>
        </w:rPr>
        <w:t>.</w:t>
      </w:r>
    </w:p>
    <w:p w14:paraId="77A143C3" w14:textId="76CD0180" w:rsidR="00145720" w:rsidRDefault="00145720" w:rsidP="00A505EC">
      <w:pPr>
        <w:spacing w:after="120"/>
        <w:ind w:rightChars="100" w:right="200"/>
        <w:jc w:val="both"/>
        <w:rPr>
          <w:rFonts w:eastAsiaTheme="minorEastAsia"/>
          <w:b/>
        </w:rPr>
      </w:pPr>
    </w:p>
    <w:p w14:paraId="31BF80D7" w14:textId="15C7E614" w:rsidR="00145720" w:rsidRPr="001954F7" w:rsidRDefault="00145720" w:rsidP="00A505EC">
      <w:pPr>
        <w:spacing w:after="120"/>
        <w:ind w:rightChars="100" w:right="200"/>
        <w:jc w:val="both"/>
        <w:rPr>
          <w:rFonts w:eastAsiaTheme="minorEastAsia"/>
        </w:rPr>
      </w:pPr>
      <w:r w:rsidRPr="001954F7">
        <w:rPr>
          <w:rFonts w:eastAsiaTheme="minorEastAsia"/>
        </w:rPr>
        <w:t xml:space="preserve">Then we </w:t>
      </w:r>
      <w:r>
        <w:rPr>
          <w:rFonts w:eastAsiaTheme="minorEastAsia"/>
        </w:rPr>
        <w:t>have the following proposal</w:t>
      </w:r>
      <w:r w:rsidR="00252CCB">
        <w:rPr>
          <w:rFonts w:eastAsiaTheme="minorEastAsia"/>
        </w:rPr>
        <w:t>s</w:t>
      </w:r>
      <w:r>
        <w:rPr>
          <w:rFonts w:eastAsiaTheme="minorEastAsia"/>
        </w:rPr>
        <w:t>:</w:t>
      </w:r>
    </w:p>
    <w:p w14:paraId="298F125E" w14:textId="5B265FA9" w:rsidR="00A505EC" w:rsidRDefault="00780E59" w:rsidP="00A505EC">
      <w:pPr>
        <w:spacing w:after="120"/>
        <w:ind w:rightChars="100" w:right="200"/>
        <w:jc w:val="both"/>
        <w:rPr>
          <w:rFonts w:eastAsiaTheme="minorEastAsia"/>
          <w:b/>
        </w:rPr>
      </w:pPr>
      <w:r>
        <w:rPr>
          <w:rFonts w:eastAsiaTheme="minorEastAsia"/>
          <w:b/>
        </w:rPr>
        <w:t xml:space="preserve">Proposal </w:t>
      </w:r>
      <w:r w:rsidR="002A08EF">
        <w:rPr>
          <w:rFonts w:eastAsiaTheme="minorEastAsia"/>
          <w:b/>
        </w:rPr>
        <w:t>1</w:t>
      </w:r>
      <w:r w:rsidRPr="00CB7602">
        <w:rPr>
          <w:rFonts w:eastAsiaTheme="minorEastAsia"/>
          <w:b/>
        </w:rPr>
        <w:t xml:space="preserve">: </w:t>
      </w:r>
      <w:r w:rsidR="00A505EC">
        <w:rPr>
          <w:rFonts w:eastAsiaTheme="minorEastAsia"/>
          <w:b/>
        </w:rPr>
        <w:t xml:space="preserve">It is proposed </w:t>
      </w:r>
      <w:r w:rsidRPr="00812C84">
        <w:rPr>
          <w:rFonts w:eastAsiaTheme="minorEastAsia"/>
          <w:b/>
        </w:rPr>
        <w:t xml:space="preserve">RAN2 </w:t>
      </w:r>
      <w:r w:rsidR="00735F57">
        <w:rPr>
          <w:rFonts w:eastAsiaTheme="minorEastAsia"/>
          <w:b/>
        </w:rPr>
        <w:t xml:space="preserve">to </w:t>
      </w:r>
      <w:r w:rsidR="00A505EC">
        <w:rPr>
          <w:rFonts w:eastAsiaTheme="minorEastAsia"/>
          <w:b/>
        </w:rPr>
        <w:t xml:space="preserve">agree on reusing </w:t>
      </w:r>
      <w:r w:rsidR="00A505EC" w:rsidRPr="00A505EC">
        <w:rPr>
          <w:rFonts w:eastAsiaTheme="minorEastAsia"/>
          <w:b/>
        </w:rPr>
        <w:t>the geographical area defined for MBS NTN</w:t>
      </w:r>
      <w:r w:rsidR="00A505EC">
        <w:rPr>
          <w:rFonts w:eastAsiaTheme="minorEastAsia"/>
          <w:b/>
        </w:rPr>
        <w:t xml:space="preserve"> for </w:t>
      </w:r>
      <w:r w:rsidR="00A505EC" w:rsidRPr="00A505EC">
        <w:rPr>
          <w:rFonts w:eastAsiaTheme="minorEastAsia"/>
          <w:b/>
        </w:rPr>
        <w:t>Area Scope of logged MDT over Uu for NTN</w:t>
      </w:r>
      <w:r w:rsidR="00A505EC">
        <w:rPr>
          <w:rFonts w:eastAsiaTheme="minorEastAsia"/>
          <w:b/>
        </w:rPr>
        <w:t>.</w:t>
      </w:r>
    </w:p>
    <w:p w14:paraId="6A30B554" w14:textId="7EAF5ABC" w:rsidR="00145720" w:rsidRPr="00145720" w:rsidRDefault="00145720" w:rsidP="00A505EC">
      <w:pPr>
        <w:spacing w:after="120"/>
        <w:ind w:rightChars="100" w:right="200"/>
        <w:jc w:val="both"/>
        <w:rPr>
          <w:rFonts w:eastAsiaTheme="minorEastAsia"/>
          <w:b/>
        </w:rPr>
      </w:pPr>
      <w:r>
        <w:rPr>
          <w:rFonts w:eastAsiaTheme="minorEastAsia"/>
          <w:b/>
        </w:rPr>
        <w:t xml:space="preserve">Proposal 2: </w:t>
      </w:r>
      <w:r w:rsidR="008154EF">
        <w:rPr>
          <w:rFonts w:eastAsiaTheme="minorEastAsia"/>
          <w:b/>
        </w:rPr>
        <w:t xml:space="preserve">It is proposed RAN2 to discuss whether to introduce some means to minimize negative impacts at UE side, e.g. </w:t>
      </w:r>
      <w:r w:rsidR="008154EF" w:rsidRPr="00941922">
        <w:rPr>
          <w:rFonts w:eastAsiaTheme="minorEastAsia"/>
          <w:b/>
        </w:rPr>
        <w:t>the UE performs geographical area checking only if it has available position information</w:t>
      </w:r>
      <w:r w:rsidR="008154EF">
        <w:rPr>
          <w:rFonts w:eastAsiaTheme="minorEastAsia"/>
          <w:b/>
        </w:rPr>
        <w:t>.</w:t>
      </w:r>
    </w:p>
    <w:p w14:paraId="20CA4AF7" w14:textId="217D0A2F" w:rsidR="00A505EC" w:rsidRDefault="00A505EC" w:rsidP="00780E59">
      <w:pPr>
        <w:spacing w:after="120"/>
        <w:ind w:rightChars="100" w:right="200"/>
        <w:jc w:val="both"/>
        <w:rPr>
          <w:rFonts w:eastAsiaTheme="minorEastAsia"/>
          <w:b/>
        </w:rPr>
      </w:pPr>
    </w:p>
    <w:p w14:paraId="4B396A51" w14:textId="77777777" w:rsidR="00A053D1" w:rsidRPr="003F2D43" w:rsidRDefault="00827357">
      <w:pPr>
        <w:pStyle w:val="1"/>
      </w:pPr>
      <w:r w:rsidRPr="003F2D43">
        <w:lastRenderedPageBreak/>
        <w:t>3   Conclusion</w:t>
      </w:r>
    </w:p>
    <w:p w14:paraId="510E88C9" w14:textId="555E01AC" w:rsidR="00EF4BBA" w:rsidRDefault="007575E1" w:rsidP="00271C68">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observations and proposals:</w:t>
      </w:r>
    </w:p>
    <w:p w14:paraId="1EE58083" w14:textId="77777777" w:rsidR="00C91B99" w:rsidRDefault="00C91B99" w:rsidP="00C91B99">
      <w:pPr>
        <w:spacing w:after="120"/>
        <w:ind w:rightChars="100" w:right="200"/>
        <w:jc w:val="both"/>
        <w:rPr>
          <w:rFonts w:eastAsiaTheme="minorEastAsia"/>
          <w:b/>
        </w:rPr>
      </w:pPr>
      <w:r>
        <w:rPr>
          <w:rFonts w:eastAsiaTheme="minorEastAsia"/>
          <w:b/>
        </w:rPr>
        <w:t>Observation 1</w:t>
      </w:r>
      <w:r w:rsidRPr="00CB7602">
        <w:rPr>
          <w:rFonts w:eastAsiaTheme="minorEastAsia"/>
          <w:b/>
        </w:rPr>
        <w:t xml:space="preserve">: </w:t>
      </w:r>
      <w:r>
        <w:rPr>
          <w:rFonts w:eastAsiaTheme="minorEastAsia"/>
          <w:b/>
        </w:rPr>
        <w:t xml:space="preserve">The UE behaviour of checking </w:t>
      </w:r>
      <w:r w:rsidRPr="00B74350">
        <w:rPr>
          <w:rFonts w:eastAsiaTheme="minorEastAsia"/>
          <w:b/>
        </w:rPr>
        <w:t>the geographical area</w:t>
      </w:r>
      <w:r>
        <w:rPr>
          <w:rFonts w:eastAsiaTheme="minorEastAsia"/>
          <w:b/>
        </w:rPr>
        <w:t xml:space="preserve"> in MDT for NTN can follow RAN2 agreements in </w:t>
      </w:r>
      <w:r w:rsidRPr="00B55D91">
        <w:rPr>
          <w:rFonts w:eastAsiaTheme="minorEastAsia"/>
          <w:b/>
        </w:rPr>
        <w:t>MBS for NTN</w:t>
      </w:r>
      <w:r>
        <w:rPr>
          <w:rFonts w:eastAsiaTheme="minorEastAsia"/>
          <w:b/>
        </w:rPr>
        <w:t>.</w:t>
      </w:r>
    </w:p>
    <w:p w14:paraId="657FD969" w14:textId="77777777" w:rsidR="00C91B99" w:rsidRPr="00C94C82" w:rsidRDefault="00C91B99" w:rsidP="00C91B99">
      <w:pPr>
        <w:spacing w:after="120"/>
        <w:ind w:rightChars="100" w:right="200"/>
        <w:jc w:val="both"/>
        <w:rPr>
          <w:rFonts w:eastAsiaTheme="minorEastAsia"/>
          <w:b/>
        </w:rPr>
      </w:pPr>
      <w:r>
        <w:rPr>
          <w:rFonts w:eastAsiaTheme="minorEastAsia"/>
          <w:b/>
        </w:rPr>
        <w:t xml:space="preserve">Observation 2: The negative impacts can be minimized by some means, e.g. </w:t>
      </w:r>
      <w:r w:rsidRPr="00941922">
        <w:rPr>
          <w:rFonts w:eastAsiaTheme="minorEastAsia"/>
          <w:b/>
        </w:rPr>
        <w:t>the UE performs geographical area checking only if it has available position information</w:t>
      </w:r>
      <w:r>
        <w:rPr>
          <w:rFonts w:eastAsiaTheme="minorEastAsia"/>
          <w:b/>
        </w:rPr>
        <w:t>.</w:t>
      </w:r>
    </w:p>
    <w:p w14:paraId="1273074B" w14:textId="7C6789B4" w:rsidR="005A2DE8" w:rsidRDefault="005A2DE8" w:rsidP="00271C68">
      <w:pPr>
        <w:spacing w:after="0"/>
        <w:rPr>
          <w:rFonts w:eastAsiaTheme="minorEastAsia"/>
        </w:rPr>
      </w:pPr>
    </w:p>
    <w:p w14:paraId="38D5A402" w14:textId="77777777" w:rsidR="00C91B99" w:rsidRDefault="00C91B99" w:rsidP="00C91B99">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It is proposed </w:t>
      </w:r>
      <w:r w:rsidRPr="00812C84">
        <w:rPr>
          <w:rFonts w:eastAsiaTheme="minorEastAsia"/>
          <w:b/>
        </w:rPr>
        <w:t xml:space="preserve">RAN2 </w:t>
      </w:r>
      <w:r>
        <w:rPr>
          <w:rFonts w:eastAsiaTheme="minorEastAsia"/>
          <w:b/>
        </w:rPr>
        <w:t xml:space="preserve">to agree on reusing </w:t>
      </w:r>
      <w:r w:rsidRPr="00A505EC">
        <w:rPr>
          <w:rFonts w:eastAsiaTheme="minorEastAsia"/>
          <w:b/>
        </w:rPr>
        <w:t>the geographical area defined for MBS NTN</w:t>
      </w:r>
      <w:r>
        <w:rPr>
          <w:rFonts w:eastAsiaTheme="minorEastAsia"/>
          <w:b/>
        </w:rPr>
        <w:t xml:space="preserve"> for </w:t>
      </w:r>
      <w:r w:rsidRPr="00A505EC">
        <w:rPr>
          <w:rFonts w:eastAsiaTheme="minorEastAsia"/>
          <w:b/>
        </w:rPr>
        <w:t>Area Scope of logged MDT over Uu for NTN</w:t>
      </w:r>
      <w:r>
        <w:rPr>
          <w:rFonts w:eastAsiaTheme="minorEastAsia"/>
          <w:b/>
        </w:rPr>
        <w:t>.</w:t>
      </w:r>
    </w:p>
    <w:p w14:paraId="75C60D0E" w14:textId="164A380D" w:rsidR="004E1F33" w:rsidRDefault="00C91B99" w:rsidP="004E1F33">
      <w:pPr>
        <w:spacing w:after="120"/>
        <w:ind w:rightChars="100" w:right="200"/>
        <w:jc w:val="both"/>
        <w:rPr>
          <w:rFonts w:eastAsiaTheme="minorEastAsia"/>
          <w:b/>
        </w:rPr>
      </w:pPr>
      <w:r>
        <w:rPr>
          <w:rFonts w:eastAsiaTheme="minorEastAsia"/>
          <w:b/>
        </w:rPr>
        <w:t xml:space="preserve">Proposal 2: It is proposed RAN2 to discuss whether to introduce some means to minimize negative impacts at UE side, e.g. </w:t>
      </w:r>
      <w:r w:rsidRPr="00941922">
        <w:rPr>
          <w:rFonts w:eastAsiaTheme="minorEastAsia"/>
          <w:b/>
        </w:rPr>
        <w:t>the UE performs geographical area checking only if it has available position information</w:t>
      </w:r>
      <w:r>
        <w:rPr>
          <w:rFonts w:eastAsiaTheme="minorEastAsia"/>
          <w:b/>
        </w:rPr>
        <w:t>.</w:t>
      </w:r>
    </w:p>
    <w:p w14:paraId="0B62A9C9" w14:textId="77777777" w:rsidR="009B0A32" w:rsidRPr="004E1F33" w:rsidRDefault="009B0A32" w:rsidP="005C5BCB">
      <w:pPr>
        <w:spacing w:after="120"/>
        <w:ind w:rightChars="100" w:right="200"/>
        <w:jc w:val="both"/>
        <w:rPr>
          <w:rFonts w:eastAsiaTheme="minorEastAsia"/>
        </w:rPr>
      </w:pPr>
    </w:p>
    <w:p w14:paraId="45AC7358" w14:textId="53F16515" w:rsidR="00610A58" w:rsidRPr="003F2D43" w:rsidRDefault="00610A58" w:rsidP="00610A58">
      <w:pPr>
        <w:pStyle w:val="1"/>
      </w:pPr>
      <w:r w:rsidRPr="003F2D43">
        <w:t>4   Reference</w:t>
      </w:r>
    </w:p>
    <w:p w14:paraId="57A3CAAB" w14:textId="39E8B812" w:rsidR="00104C91" w:rsidRPr="004458F0" w:rsidRDefault="00104C91" w:rsidP="004F22B5">
      <w:pPr>
        <w:spacing w:after="0"/>
        <w:rPr>
          <w:rFonts w:eastAsiaTheme="minorEastAsia"/>
        </w:rPr>
      </w:pPr>
      <w:r w:rsidRPr="004458F0">
        <w:rPr>
          <w:rFonts w:eastAsiaTheme="minorEastAsia" w:hint="eastAsia"/>
        </w:rPr>
        <w:t>[</w:t>
      </w:r>
      <w:r w:rsidRPr="004458F0">
        <w:rPr>
          <w:rFonts w:eastAsiaTheme="minorEastAsia"/>
        </w:rPr>
        <w:t xml:space="preserve">1] </w:t>
      </w:r>
      <w:r w:rsidR="00192588" w:rsidRPr="004458F0">
        <w:rPr>
          <w:rFonts w:eastAsiaTheme="minorEastAsia"/>
        </w:rPr>
        <w:t>R3-247908</w:t>
      </w:r>
      <w:r w:rsidR="00FF75C2" w:rsidRPr="004458F0">
        <w:rPr>
          <w:rFonts w:eastAsiaTheme="minorEastAsia"/>
        </w:rPr>
        <w:t xml:space="preserve">, </w:t>
      </w:r>
      <w:r w:rsidR="00192588" w:rsidRPr="004458F0">
        <w:rPr>
          <w:rFonts w:eastAsiaTheme="minorEastAsia"/>
        </w:rPr>
        <w:t>LS on RAN3 agreements with impact on UE related to the Rel-19 SON/MDT.</w:t>
      </w:r>
    </w:p>
    <w:p w14:paraId="4CCEE9F4" w14:textId="64C2D1C5" w:rsidR="00E46653" w:rsidRPr="004458F0" w:rsidRDefault="00600C2A" w:rsidP="00E46653">
      <w:pPr>
        <w:overflowPunct/>
        <w:autoSpaceDE/>
        <w:autoSpaceDN/>
        <w:adjustRightInd/>
        <w:spacing w:after="0"/>
        <w:textAlignment w:val="auto"/>
        <w:rPr>
          <w:rFonts w:eastAsia="微软雅黑"/>
          <w:color w:val="000000"/>
        </w:rPr>
      </w:pPr>
      <w:r w:rsidRPr="004458F0">
        <w:rPr>
          <w:rFonts w:eastAsiaTheme="minorEastAsia" w:hint="eastAsia"/>
        </w:rPr>
        <w:t>[</w:t>
      </w:r>
      <w:r w:rsidRPr="004458F0">
        <w:rPr>
          <w:rFonts w:eastAsiaTheme="minorEastAsia"/>
        </w:rPr>
        <w:t xml:space="preserve">2] </w:t>
      </w:r>
      <w:r w:rsidR="00E46653" w:rsidRPr="004458F0">
        <w:rPr>
          <w:rFonts w:eastAsia="微软雅黑"/>
          <w:color w:val="000000"/>
        </w:rPr>
        <w:t>R2_129_Maint_SONMDT_Mattias_20250221_Final</w:t>
      </w:r>
      <w:r w:rsidR="00391E08" w:rsidRPr="004458F0">
        <w:rPr>
          <w:rFonts w:eastAsia="微软雅黑"/>
          <w:color w:val="000000"/>
        </w:rPr>
        <w:t>.</w:t>
      </w:r>
    </w:p>
    <w:p w14:paraId="1BB8BED3" w14:textId="023C3656" w:rsidR="003A2B57" w:rsidRPr="004458F0" w:rsidRDefault="00AC4172" w:rsidP="00AC4172">
      <w:pPr>
        <w:overflowPunct/>
        <w:autoSpaceDE/>
        <w:autoSpaceDN/>
        <w:adjustRightInd/>
        <w:spacing w:after="0"/>
        <w:textAlignment w:val="auto"/>
        <w:rPr>
          <w:rFonts w:eastAsiaTheme="minorEastAsia"/>
        </w:rPr>
      </w:pPr>
      <w:r w:rsidRPr="004458F0">
        <w:rPr>
          <w:rFonts w:eastAsiaTheme="minorEastAsia" w:hint="eastAsia"/>
        </w:rPr>
        <w:t>[</w:t>
      </w:r>
      <w:r w:rsidRPr="004458F0">
        <w:rPr>
          <w:rFonts w:eastAsiaTheme="minorEastAsia"/>
        </w:rPr>
        <w:t>3] R2-127 NR-NTN-IoT-NTN (Sergio)_ EOM</w:t>
      </w:r>
    </w:p>
    <w:sectPr w:rsidR="003A2B57" w:rsidRPr="004458F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007B7" w14:textId="77777777" w:rsidR="002D50D6" w:rsidRDefault="002D50D6">
      <w:pPr>
        <w:spacing w:after="0"/>
      </w:pPr>
      <w:r>
        <w:separator/>
      </w:r>
    </w:p>
  </w:endnote>
  <w:endnote w:type="continuationSeparator" w:id="0">
    <w:p w14:paraId="37C7510E" w14:textId="77777777" w:rsidR="002D50D6" w:rsidRDefault="002D5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0CCD" w14:textId="77777777" w:rsidR="002D50D6" w:rsidRDefault="002D50D6">
      <w:pPr>
        <w:spacing w:after="0"/>
      </w:pPr>
      <w:r>
        <w:separator/>
      </w:r>
    </w:p>
  </w:footnote>
  <w:footnote w:type="continuationSeparator" w:id="0">
    <w:p w14:paraId="6ABAEECE" w14:textId="77777777" w:rsidR="002D50D6" w:rsidRDefault="002D50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0E046E2"/>
    <w:multiLevelType w:val="hybridMultilevel"/>
    <w:tmpl w:val="2AA8C170"/>
    <w:lvl w:ilvl="0" w:tplc="9AC4DBB8">
      <w:start w:val="1"/>
      <w:numFmt w:val="bullet"/>
      <w:lvlText w:val=""/>
      <w:lvlJc w:val="left"/>
      <w:pPr>
        <w:tabs>
          <w:tab w:val="num" w:pos="720"/>
        </w:tabs>
        <w:ind w:left="720" w:hanging="360"/>
      </w:pPr>
      <w:rPr>
        <w:rFonts w:ascii="Wingdings" w:hAnsi="Wingdings" w:hint="default"/>
      </w:rPr>
    </w:lvl>
    <w:lvl w:ilvl="1" w:tplc="9A1230A2">
      <w:start w:val="1"/>
      <w:numFmt w:val="bullet"/>
      <w:lvlText w:val=""/>
      <w:lvlJc w:val="left"/>
      <w:pPr>
        <w:tabs>
          <w:tab w:val="num" w:pos="1440"/>
        </w:tabs>
        <w:ind w:left="1440" w:hanging="360"/>
      </w:pPr>
      <w:rPr>
        <w:rFonts w:ascii="Wingdings" w:hAnsi="Wingdings" w:hint="default"/>
      </w:rPr>
    </w:lvl>
    <w:lvl w:ilvl="2" w:tplc="082280F0" w:tentative="1">
      <w:start w:val="1"/>
      <w:numFmt w:val="bullet"/>
      <w:lvlText w:val=""/>
      <w:lvlJc w:val="left"/>
      <w:pPr>
        <w:tabs>
          <w:tab w:val="num" w:pos="2160"/>
        </w:tabs>
        <w:ind w:left="2160" w:hanging="360"/>
      </w:pPr>
      <w:rPr>
        <w:rFonts w:ascii="Wingdings" w:hAnsi="Wingdings" w:hint="default"/>
      </w:rPr>
    </w:lvl>
    <w:lvl w:ilvl="3" w:tplc="EC8A0404" w:tentative="1">
      <w:start w:val="1"/>
      <w:numFmt w:val="bullet"/>
      <w:lvlText w:val=""/>
      <w:lvlJc w:val="left"/>
      <w:pPr>
        <w:tabs>
          <w:tab w:val="num" w:pos="2880"/>
        </w:tabs>
        <w:ind w:left="2880" w:hanging="360"/>
      </w:pPr>
      <w:rPr>
        <w:rFonts w:ascii="Wingdings" w:hAnsi="Wingdings" w:hint="default"/>
      </w:rPr>
    </w:lvl>
    <w:lvl w:ilvl="4" w:tplc="4A168E98" w:tentative="1">
      <w:start w:val="1"/>
      <w:numFmt w:val="bullet"/>
      <w:lvlText w:val=""/>
      <w:lvlJc w:val="left"/>
      <w:pPr>
        <w:tabs>
          <w:tab w:val="num" w:pos="3600"/>
        </w:tabs>
        <w:ind w:left="3600" w:hanging="360"/>
      </w:pPr>
      <w:rPr>
        <w:rFonts w:ascii="Wingdings" w:hAnsi="Wingdings" w:hint="default"/>
      </w:rPr>
    </w:lvl>
    <w:lvl w:ilvl="5" w:tplc="CAE8DBEE" w:tentative="1">
      <w:start w:val="1"/>
      <w:numFmt w:val="bullet"/>
      <w:lvlText w:val=""/>
      <w:lvlJc w:val="left"/>
      <w:pPr>
        <w:tabs>
          <w:tab w:val="num" w:pos="4320"/>
        </w:tabs>
        <w:ind w:left="4320" w:hanging="360"/>
      </w:pPr>
      <w:rPr>
        <w:rFonts w:ascii="Wingdings" w:hAnsi="Wingdings" w:hint="default"/>
      </w:rPr>
    </w:lvl>
    <w:lvl w:ilvl="6" w:tplc="EF0C53B0" w:tentative="1">
      <w:start w:val="1"/>
      <w:numFmt w:val="bullet"/>
      <w:lvlText w:val=""/>
      <w:lvlJc w:val="left"/>
      <w:pPr>
        <w:tabs>
          <w:tab w:val="num" w:pos="5040"/>
        </w:tabs>
        <w:ind w:left="5040" w:hanging="360"/>
      </w:pPr>
      <w:rPr>
        <w:rFonts w:ascii="Wingdings" w:hAnsi="Wingdings" w:hint="default"/>
      </w:rPr>
    </w:lvl>
    <w:lvl w:ilvl="7" w:tplc="11FC63B4" w:tentative="1">
      <w:start w:val="1"/>
      <w:numFmt w:val="bullet"/>
      <w:lvlText w:val=""/>
      <w:lvlJc w:val="left"/>
      <w:pPr>
        <w:tabs>
          <w:tab w:val="num" w:pos="5760"/>
        </w:tabs>
        <w:ind w:left="5760" w:hanging="360"/>
      </w:pPr>
      <w:rPr>
        <w:rFonts w:ascii="Wingdings" w:hAnsi="Wingdings" w:hint="default"/>
      </w:rPr>
    </w:lvl>
    <w:lvl w:ilvl="8" w:tplc="729C6A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D0066"/>
    <w:multiLevelType w:val="hybridMultilevel"/>
    <w:tmpl w:val="852EAA24"/>
    <w:lvl w:ilvl="0" w:tplc="E9A60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0B6D7F8"/>
    <w:multiLevelType w:val="singleLevel"/>
    <w:tmpl w:val="20B6D7F8"/>
    <w:lvl w:ilvl="0">
      <w:start w:val="2"/>
      <w:numFmt w:val="decimal"/>
      <w:suff w:val="space"/>
      <w:lvlText w:val="(%1)"/>
      <w:lvlJc w:val="left"/>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C2E56"/>
    <w:multiLevelType w:val="hybridMultilevel"/>
    <w:tmpl w:val="5FE4276C"/>
    <w:lvl w:ilvl="0" w:tplc="DE446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715C9"/>
    <w:multiLevelType w:val="hybridMultilevel"/>
    <w:tmpl w:val="DA64BC58"/>
    <w:lvl w:ilvl="0" w:tplc="ECE6B95E">
      <w:start w:val="1"/>
      <w:numFmt w:val="bullet"/>
      <w:lvlText w:val=""/>
      <w:lvlJc w:val="left"/>
      <w:pPr>
        <w:tabs>
          <w:tab w:val="num" w:pos="720"/>
        </w:tabs>
        <w:ind w:left="720" w:hanging="360"/>
      </w:pPr>
      <w:rPr>
        <w:rFonts w:ascii="Wingdings" w:hAnsi="Wingdings" w:hint="default"/>
      </w:rPr>
    </w:lvl>
    <w:lvl w:ilvl="1" w:tplc="FA10EF96">
      <w:start w:val="1"/>
      <w:numFmt w:val="bullet"/>
      <w:lvlText w:val=""/>
      <w:lvlJc w:val="left"/>
      <w:pPr>
        <w:tabs>
          <w:tab w:val="num" w:pos="1440"/>
        </w:tabs>
        <w:ind w:left="1440" w:hanging="360"/>
      </w:pPr>
      <w:rPr>
        <w:rFonts w:ascii="Wingdings" w:hAnsi="Wingdings" w:hint="default"/>
      </w:rPr>
    </w:lvl>
    <w:lvl w:ilvl="2" w:tplc="15ACE140" w:tentative="1">
      <w:start w:val="1"/>
      <w:numFmt w:val="bullet"/>
      <w:lvlText w:val=""/>
      <w:lvlJc w:val="left"/>
      <w:pPr>
        <w:tabs>
          <w:tab w:val="num" w:pos="2160"/>
        </w:tabs>
        <w:ind w:left="2160" w:hanging="360"/>
      </w:pPr>
      <w:rPr>
        <w:rFonts w:ascii="Wingdings" w:hAnsi="Wingdings" w:hint="default"/>
      </w:rPr>
    </w:lvl>
    <w:lvl w:ilvl="3" w:tplc="D1BCA882" w:tentative="1">
      <w:start w:val="1"/>
      <w:numFmt w:val="bullet"/>
      <w:lvlText w:val=""/>
      <w:lvlJc w:val="left"/>
      <w:pPr>
        <w:tabs>
          <w:tab w:val="num" w:pos="2880"/>
        </w:tabs>
        <w:ind w:left="2880" w:hanging="360"/>
      </w:pPr>
      <w:rPr>
        <w:rFonts w:ascii="Wingdings" w:hAnsi="Wingdings" w:hint="default"/>
      </w:rPr>
    </w:lvl>
    <w:lvl w:ilvl="4" w:tplc="F7D2B672" w:tentative="1">
      <w:start w:val="1"/>
      <w:numFmt w:val="bullet"/>
      <w:lvlText w:val=""/>
      <w:lvlJc w:val="left"/>
      <w:pPr>
        <w:tabs>
          <w:tab w:val="num" w:pos="3600"/>
        </w:tabs>
        <w:ind w:left="3600" w:hanging="360"/>
      </w:pPr>
      <w:rPr>
        <w:rFonts w:ascii="Wingdings" w:hAnsi="Wingdings" w:hint="default"/>
      </w:rPr>
    </w:lvl>
    <w:lvl w:ilvl="5" w:tplc="A46C4998" w:tentative="1">
      <w:start w:val="1"/>
      <w:numFmt w:val="bullet"/>
      <w:lvlText w:val=""/>
      <w:lvlJc w:val="left"/>
      <w:pPr>
        <w:tabs>
          <w:tab w:val="num" w:pos="4320"/>
        </w:tabs>
        <w:ind w:left="4320" w:hanging="360"/>
      </w:pPr>
      <w:rPr>
        <w:rFonts w:ascii="Wingdings" w:hAnsi="Wingdings" w:hint="default"/>
      </w:rPr>
    </w:lvl>
    <w:lvl w:ilvl="6" w:tplc="ACB888C6" w:tentative="1">
      <w:start w:val="1"/>
      <w:numFmt w:val="bullet"/>
      <w:lvlText w:val=""/>
      <w:lvlJc w:val="left"/>
      <w:pPr>
        <w:tabs>
          <w:tab w:val="num" w:pos="5040"/>
        </w:tabs>
        <w:ind w:left="5040" w:hanging="360"/>
      </w:pPr>
      <w:rPr>
        <w:rFonts w:ascii="Wingdings" w:hAnsi="Wingdings" w:hint="default"/>
      </w:rPr>
    </w:lvl>
    <w:lvl w:ilvl="7" w:tplc="78DCF384" w:tentative="1">
      <w:start w:val="1"/>
      <w:numFmt w:val="bullet"/>
      <w:lvlText w:val=""/>
      <w:lvlJc w:val="left"/>
      <w:pPr>
        <w:tabs>
          <w:tab w:val="num" w:pos="5760"/>
        </w:tabs>
        <w:ind w:left="5760" w:hanging="360"/>
      </w:pPr>
      <w:rPr>
        <w:rFonts w:ascii="Wingdings" w:hAnsi="Wingdings" w:hint="default"/>
      </w:rPr>
    </w:lvl>
    <w:lvl w:ilvl="8" w:tplc="A2EA6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E97C09"/>
    <w:multiLevelType w:val="hybridMultilevel"/>
    <w:tmpl w:val="5BE4B3EA"/>
    <w:lvl w:ilvl="0" w:tplc="6D9EA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2C4F7C"/>
    <w:multiLevelType w:val="hybridMultilevel"/>
    <w:tmpl w:val="41746190"/>
    <w:lvl w:ilvl="0" w:tplc="6472D51A">
      <w:start w:val="1"/>
      <w:numFmt w:val="bullet"/>
      <w:lvlText w:val=""/>
      <w:lvlJc w:val="left"/>
      <w:pPr>
        <w:tabs>
          <w:tab w:val="num" w:pos="720"/>
        </w:tabs>
        <w:ind w:left="720" w:hanging="360"/>
      </w:pPr>
      <w:rPr>
        <w:rFonts w:ascii="Wingdings" w:hAnsi="Wingdings" w:hint="default"/>
      </w:rPr>
    </w:lvl>
    <w:lvl w:ilvl="1" w:tplc="F998F492">
      <w:start w:val="1"/>
      <w:numFmt w:val="bullet"/>
      <w:lvlText w:val=""/>
      <w:lvlJc w:val="left"/>
      <w:pPr>
        <w:tabs>
          <w:tab w:val="num" w:pos="1440"/>
        </w:tabs>
        <w:ind w:left="1440" w:hanging="360"/>
      </w:pPr>
      <w:rPr>
        <w:rFonts w:ascii="Wingdings" w:hAnsi="Wingdings" w:hint="default"/>
      </w:rPr>
    </w:lvl>
    <w:lvl w:ilvl="2" w:tplc="3044F820" w:tentative="1">
      <w:start w:val="1"/>
      <w:numFmt w:val="bullet"/>
      <w:lvlText w:val=""/>
      <w:lvlJc w:val="left"/>
      <w:pPr>
        <w:tabs>
          <w:tab w:val="num" w:pos="2160"/>
        </w:tabs>
        <w:ind w:left="2160" w:hanging="360"/>
      </w:pPr>
      <w:rPr>
        <w:rFonts w:ascii="Wingdings" w:hAnsi="Wingdings" w:hint="default"/>
      </w:rPr>
    </w:lvl>
    <w:lvl w:ilvl="3" w:tplc="8C2AA3D0" w:tentative="1">
      <w:start w:val="1"/>
      <w:numFmt w:val="bullet"/>
      <w:lvlText w:val=""/>
      <w:lvlJc w:val="left"/>
      <w:pPr>
        <w:tabs>
          <w:tab w:val="num" w:pos="2880"/>
        </w:tabs>
        <w:ind w:left="2880" w:hanging="360"/>
      </w:pPr>
      <w:rPr>
        <w:rFonts w:ascii="Wingdings" w:hAnsi="Wingdings" w:hint="default"/>
      </w:rPr>
    </w:lvl>
    <w:lvl w:ilvl="4" w:tplc="0D8AE6B6" w:tentative="1">
      <w:start w:val="1"/>
      <w:numFmt w:val="bullet"/>
      <w:lvlText w:val=""/>
      <w:lvlJc w:val="left"/>
      <w:pPr>
        <w:tabs>
          <w:tab w:val="num" w:pos="3600"/>
        </w:tabs>
        <w:ind w:left="3600" w:hanging="360"/>
      </w:pPr>
      <w:rPr>
        <w:rFonts w:ascii="Wingdings" w:hAnsi="Wingdings" w:hint="default"/>
      </w:rPr>
    </w:lvl>
    <w:lvl w:ilvl="5" w:tplc="8C3ECC00" w:tentative="1">
      <w:start w:val="1"/>
      <w:numFmt w:val="bullet"/>
      <w:lvlText w:val=""/>
      <w:lvlJc w:val="left"/>
      <w:pPr>
        <w:tabs>
          <w:tab w:val="num" w:pos="4320"/>
        </w:tabs>
        <w:ind w:left="4320" w:hanging="360"/>
      </w:pPr>
      <w:rPr>
        <w:rFonts w:ascii="Wingdings" w:hAnsi="Wingdings" w:hint="default"/>
      </w:rPr>
    </w:lvl>
    <w:lvl w:ilvl="6" w:tplc="D7C2C89A" w:tentative="1">
      <w:start w:val="1"/>
      <w:numFmt w:val="bullet"/>
      <w:lvlText w:val=""/>
      <w:lvlJc w:val="left"/>
      <w:pPr>
        <w:tabs>
          <w:tab w:val="num" w:pos="5040"/>
        </w:tabs>
        <w:ind w:left="5040" w:hanging="360"/>
      </w:pPr>
      <w:rPr>
        <w:rFonts w:ascii="Wingdings" w:hAnsi="Wingdings" w:hint="default"/>
      </w:rPr>
    </w:lvl>
    <w:lvl w:ilvl="7" w:tplc="494C6FA4" w:tentative="1">
      <w:start w:val="1"/>
      <w:numFmt w:val="bullet"/>
      <w:lvlText w:val=""/>
      <w:lvlJc w:val="left"/>
      <w:pPr>
        <w:tabs>
          <w:tab w:val="num" w:pos="5760"/>
        </w:tabs>
        <w:ind w:left="5760" w:hanging="360"/>
      </w:pPr>
      <w:rPr>
        <w:rFonts w:ascii="Wingdings" w:hAnsi="Wingdings" w:hint="default"/>
      </w:rPr>
    </w:lvl>
    <w:lvl w:ilvl="8" w:tplc="4CC0B07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9"/>
    <w:lvlOverride w:ilvl="0">
      <w:startOverride w:val="1"/>
    </w:lvlOverride>
  </w:num>
  <w:num w:numId="4">
    <w:abstractNumId w:val="12"/>
  </w:num>
  <w:num w:numId="5">
    <w:abstractNumId w:val="31"/>
  </w:num>
  <w:num w:numId="6">
    <w:abstractNumId w:val="18"/>
  </w:num>
  <w:num w:numId="7">
    <w:abstractNumId w:val="29"/>
  </w:num>
  <w:num w:numId="8">
    <w:abstractNumId w:val="5"/>
  </w:num>
  <w:num w:numId="9">
    <w:abstractNumId w:val="7"/>
  </w:num>
  <w:num w:numId="10">
    <w:abstractNumId w:val="34"/>
  </w:num>
  <w:num w:numId="11">
    <w:abstractNumId w:val="17"/>
  </w:num>
  <w:num w:numId="12">
    <w:abstractNumId w:val="16"/>
  </w:num>
  <w:num w:numId="13">
    <w:abstractNumId w:val="8"/>
  </w:num>
  <w:num w:numId="14">
    <w:abstractNumId w:val="31"/>
  </w:num>
  <w:num w:numId="15">
    <w:abstractNumId w:val="4"/>
  </w:num>
  <w:num w:numId="16">
    <w:abstractNumId w:val="26"/>
  </w:num>
  <w:num w:numId="17">
    <w:abstractNumId w:val="10"/>
  </w:num>
  <w:num w:numId="18">
    <w:abstractNumId w:val="13"/>
  </w:num>
  <w:num w:numId="19">
    <w:abstractNumId w:val="27"/>
  </w:num>
  <w:num w:numId="20">
    <w:abstractNumId w:val="2"/>
  </w:num>
  <w:num w:numId="21">
    <w:abstractNumId w:val="0"/>
  </w:num>
  <w:num w:numId="22">
    <w:abstractNumId w:val="32"/>
  </w:num>
  <w:num w:numId="23">
    <w:abstractNumId w:val="9"/>
  </w:num>
  <w:num w:numId="24">
    <w:abstractNumId w:val="23"/>
  </w:num>
  <w:num w:numId="25">
    <w:abstractNumId w:val="20"/>
  </w:num>
  <w:num w:numId="26">
    <w:abstractNumId w:val="6"/>
  </w:num>
  <w:num w:numId="27">
    <w:abstractNumId w:val="14"/>
  </w:num>
  <w:num w:numId="28">
    <w:abstractNumId w:val="30"/>
  </w:num>
  <w:num w:numId="29">
    <w:abstractNumId w:val="33"/>
  </w:num>
  <w:num w:numId="30">
    <w:abstractNumId w:val="15"/>
  </w:num>
  <w:num w:numId="31">
    <w:abstractNumId w:val="28"/>
  </w:num>
  <w:num w:numId="32">
    <w:abstractNumId w:val="1"/>
  </w:num>
  <w:num w:numId="33">
    <w:abstractNumId w:val="21"/>
  </w:num>
  <w:num w:numId="34">
    <w:abstractNumId w:val="22"/>
  </w:num>
  <w:num w:numId="35">
    <w:abstractNumId w:val="11"/>
  </w:num>
  <w:num w:numId="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8FC"/>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A6A"/>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17EE0"/>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A35"/>
    <w:rsid w:val="00057BBB"/>
    <w:rsid w:val="00061153"/>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04"/>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97FF6"/>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4C21"/>
    <w:rsid w:val="000B5006"/>
    <w:rsid w:val="000B5018"/>
    <w:rsid w:val="000B5812"/>
    <w:rsid w:val="000B5A9A"/>
    <w:rsid w:val="000B5CDD"/>
    <w:rsid w:val="000B5D8A"/>
    <w:rsid w:val="000B5E32"/>
    <w:rsid w:val="000B60FC"/>
    <w:rsid w:val="000B65A6"/>
    <w:rsid w:val="000B6AC9"/>
    <w:rsid w:val="000B6CFB"/>
    <w:rsid w:val="000B6E57"/>
    <w:rsid w:val="000B7630"/>
    <w:rsid w:val="000B79F3"/>
    <w:rsid w:val="000B7FDE"/>
    <w:rsid w:val="000C0D77"/>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AE3"/>
    <w:rsid w:val="000D5B70"/>
    <w:rsid w:val="000D5D1F"/>
    <w:rsid w:val="000D613B"/>
    <w:rsid w:val="000D6604"/>
    <w:rsid w:val="000D6684"/>
    <w:rsid w:val="000D6723"/>
    <w:rsid w:val="000D6ADA"/>
    <w:rsid w:val="000D6E46"/>
    <w:rsid w:val="000D7288"/>
    <w:rsid w:val="000D7B5D"/>
    <w:rsid w:val="000D7DBB"/>
    <w:rsid w:val="000D7EBE"/>
    <w:rsid w:val="000E0454"/>
    <w:rsid w:val="000E05ED"/>
    <w:rsid w:val="000E06E8"/>
    <w:rsid w:val="000E080E"/>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5FFC"/>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5AF7"/>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88"/>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5720"/>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42"/>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276"/>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2588"/>
    <w:rsid w:val="00193221"/>
    <w:rsid w:val="0019371F"/>
    <w:rsid w:val="0019379F"/>
    <w:rsid w:val="00193C10"/>
    <w:rsid w:val="00194A58"/>
    <w:rsid w:val="001954F7"/>
    <w:rsid w:val="0019550B"/>
    <w:rsid w:val="00195DB1"/>
    <w:rsid w:val="00195FC6"/>
    <w:rsid w:val="00196B5A"/>
    <w:rsid w:val="001977BF"/>
    <w:rsid w:val="00197AAA"/>
    <w:rsid w:val="00197CF2"/>
    <w:rsid w:val="001A0A48"/>
    <w:rsid w:val="001A0E54"/>
    <w:rsid w:val="001A1315"/>
    <w:rsid w:val="001A1355"/>
    <w:rsid w:val="001A1A85"/>
    <w:rsid w:val="001A1C2D"/>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13"/>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6F8B"/>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C62"/>
    <w:rsid w:val="00246D3F"/>
    <w:rsid w:val="002474AC"/>
    <w:rsid w:val="00247C21"/>
    <w:rsid w:val="00247CAE"/>
    <w:rsid w:val="002505E5"/>
    <w:rsid w:val="00250895"/>
    <w:rsid w:val="002510DE"/>
    <w:rsid w:val="00251681"/>
    <w:rsid w:val="00251708"/>
    <w:rsid w:val="0025185A"/>
    <w:rsid w:val="00251B24"/>
    <w:rsid w:val="0025239D"/>
    <w:rsid w:val="00252881"/>
    <w:rsid w:val="00252CC4"/>
    <w:rsid w:val="00252CCB"/>
    <w:rsid w:val="00254147"/>
    <w:rsid w:val="0025583A"/>
    <w:rsid w:val="00256075"/>
    <w:rsid w:val="00256577"/>
    <w:rsid w:val="00260410"/>
    <w:rsid w:val="002608F1"/>
    <w:rsid w:val="00260B45"/>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68"/>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8EF"/>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48"/>
    <w:rsid w:val="002A4A51"/>
    <w:rsid w:val="002A4C64"/>
    <w:rsid w:val="002A4D81"/>
    <w:rsid w:val="002A4FA6"/>
    <w:rsid w:val="002A5448"/>
    <w:rsid w:val="002A57CA"/>
    <w:rsid w:val="002A595A"/>
    <w:rsid w:val="002A5D55"/>
    <w:rsid w:val="002A5DF4"/>
    <w:rsid w:val="002A5E45"/>
    <w:rsid w:val="002A605B"/>
    <w:rsid w:val="002A60A7"/>
    <w:rsid w:val="002A693B"/>
    <w:rsid w:val="002A7613"/>
    <w:rsid w:val="002A7685"/>
    <w:rsid w:val="002A7ADB"/>
    <w:rsid w:val="002B00AF"/>
    <w:rsid w:val="002B020D"/>
    <w:rsid w:val="002B0387"/>
    <w:rsid w:val="002B08EB"/>
    <w:rsid w:val="002B1156"/>
    <w:rsid w:val="002B117B"/>
    <w:rsid w:val="002B1487"/>
    <w:rsid w:val="002B2B25"/>
    <w:rsid w:val="002B2FBD"/>
    <w:rsid w:val="002B31F7"/>
    <w:rsid w:val="002B33F1"/>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0E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771"/>
    <w:rsid w:val="002D2B1C"/>
    <w:rsid w:val="002D2E18"/>
    <w:rsid w:val="002D342E"/>
    <w:rsid w:val="002D38BC"/>
    <w:rsid w:val="002D3B1D"/>
    <w:rsid w:val="002D43AC"/>
    <w:rsid w:val="002D4773"/>
    <w:rsid w:val="002D4FBE"/>
    <w:rsid w:val="002D50AD"/>
    <w:rsid w:val="002D50D6"/>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0EB"/>
    <w:rsid w:val="002E7403"/>
    <w:rsid w:val="002E7779"/>
    <w:rsid w:val="002F0053"/>
    <w:rsid w:val="002F03EC"/>
    <w:rsid w:val="002F09A8"/>
    <w:rsid w:val="002F1D70"/>
    <w:rsid w:val="002F260A"/>
    <w:rsid w:val="002F2613"/>
    <w:rsid w:val="002F3146"/>
    <w:rsid w:val="002F42AC"/>
    <w:rsid w:val="002F444D"/>
    <w:rsid w:val="002F45FF"/>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1CD8"/>
    <w:rsid w:val="00342746"/>
    <w:rsid w:val="00342A0D"/>
    <w:rsid w:val="003430BB"/>
    <w:rsid w:val="00343188"/>
    <w:rsid w:val="003438F1"/>
    <w:rsid w:val="0034411C"/>
    <w:rsid w:val="00344261"/>
    <w:rsid w:val="00344344"/>
    <w:rsid w:val="00344939"/>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57EDD"/>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9EE"/>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1E08"/>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B57"/>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3A5"/>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8F3"/>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8F"/>
    <w:rsid w:val="003C1FE7"/>
    <w:rsid w:val="003C22D8"/>
    <w:rsid w:val="003C2414"/>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C7CBC"/>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961"/>
    <w:rsid w:val="003D5BA3"/>
    <w:rsid w:val="003D6146"/>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A12"/>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8E8"/>
    <w:rsid w:val="0042448D"/>
    <w:rsid w:val="0042457E"/>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2DFA"/>
    <w:rsid w:val="004432F0"/>
    <w:rsid w:val="004433A2"/>
    <w:rsid w:val="004433DD"/>
    <w:rsid w:val="0044451C"/>
    <w:rsid w:val="0044468E"/>
    <w:rsid w:val="00444752"/>
    <w:rsid w:val="00444885"/>
    <w:rsid w:val="00444C2E"/>
    <w:rsid w:val="004454D0"/>
    <w:rsid w:val="004458F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416"/>
    <w:rsid w:val="004834DD"/>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2B9D"/>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70E"/>
    <w:rsid w:val="004C0E43"/>
    <w:rsid w:val="004C0EF4"/>
    <w:rsid w:val="004C123F"/>
    <w:rsid w:val="004C1909"/>
    <w:rsid w:val="004C1A52"/>
    <w:rsid w:val="004C1EE7"/>
    <w:rsid w:val="004C2A62"/>
    <w:rsid w:val="004C2BEC"/>
    <w:rsid w:val="004C2C84"/>
    <w:rsid w:val="004C2D72"/>
    <w:rsid w:val="004C3005"/>
    <w:rsid w:val="004C34C1"/>
    <w:rsid w:val="004C36CF"/>
    <w:rsid w:val="004C4109"/>
    <w:rsid w:val="004C4B3D"/>
    <w:rsid w:val="004C574C"/>
    <w:rsid w:val="004C5FEA"/>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1F33"/>
    <w:rsid w:val="004E235D"/>
    <w:rsid w:val="004E258F"/>
    <w:rsid w:val="004E2E6C"/>
    <w:rsid w:val="004E2EFA"/>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36E"/>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80"/>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197C"/>
    <w:rsid w:val="00512102"/>
    <w:rsid w:val="00512363"/>
    <w:rsid w:val="00512375"/>
    <w:rsid w:val="00512497"/>
    <w:rsid w:val="005125A0"/>
    <w:rsid w:val="00513440"/>
    <w:rsid w:val="00513793"/>
    <w:rsid w:val="005146FB"/>
    <w:rsid w:val="00514D53"/>
    <w:rsid w:val="0051601C"/>
    <w:rsid w:val="005163F4"/>
    <w:rsid w:val="005164E5"/>
    <w:rsid w:val="005169CE"/>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177"/>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A32"/>
    <w:rsid w:val="00530FD8"/>
    <w:rsid w:val="0053132B"/>
    <w:rsid w:val="0053147C"/>
    <w:rsid w:val="005316C4"/>
    <w:rsid w:val="00531B2F"/>
    <w:rsid w:val="0053215C"/>
    <w:rsid w:val="00533317"/>
    <w:rsid w:val="00534281"/>
    <w:rsid w:val="005349E6"/>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65E"/>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218"/>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2DE8"/>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1919"/>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C2A"/>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02F"/>
    <w:rsid w:val="00666155"/>
    <w:rsid w:val="00666233"/>
    <w:rsid w:val="006662C4"/>
    <w:rsid w:val="006665D8"/>
    <w:rsid w:val="00667317"/>
    <w:rsid w:val="00667656"/>
    <w:rsid w:val="00667E8E"/>
    <w:rsid w:val="00670062"/>
    <w:rsid w:val="0067039F"/>
    <w:rsid w:val="006704C8"/>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7DF"/>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6BEF"/>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078"/>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2C7"/>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767"/>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5F57"/>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2DBF"/>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59"/>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24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1CD7"/>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BDF"/>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0"/>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4EF"/>
    <w:rsid w:val="00815661"/>
    <w:rsid w:val="00815776"/>
    <w:rsid w:val="0081596C"/>
    <w:rsid w:val="00815B07"/>
    <w:rsid w:val="00815DA0"/>
    <w:rsid w:val="00815F19"/>
    <w:rsid w:val="008162F3"/>
    <w:rsid w:val="00816C69"/>
    <w:rsid w:val="008174AE"/>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8DF"/>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47B90"/>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56C86"/>
    <w:rsid w:val="0086034A"/>
    <w:rsid w:val="008618B4"/>
    <w:rsid w:val="00862162"/>
    <w:rsid w:val="00862C5C"/>
    <w:rsid w:val="0086319F"/>
    <w:rsid w:val="008631E1"/>
    <w:rsid w:val="00863765"/>
    <w:rsid w:val="008637B8"/>
    <w:rsid w:val="0086388F"/>
    <w:rsid w:val="00863B1F"/>
    <w:rsid w:val="00863CD7"/>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1FF1"/>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6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0BBD"/>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5A3B"/>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805"/>
    <w:rsid w:val="008F39CA"/>
    <w:rsid w:val="008F3B87"/>
    <w:rsid w:val="008F3E78"/>
    <w:rsid w:val="008F40C7"/>
    <w:rsid w:val="008F4A52"/>
    <w:rsid w:val="008F4A55"/>
    <w:rsid w:val="008F4AF6"/>
    <w:rsid w:val="008F4E45"/>
    <w:rsid w:val="008F522E"/>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1922"/>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461"/>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D8C"/>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007"/>
    <w:rsid w:val="00965330"/>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1720"/>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6F08"/>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A32"/>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07B64"/>
    <w:rsid w:val="00A1022C"/>
    <w:rsid w:val="00A10268"/>
    <w:rsid w:val="00A10362"/>
    <w:rsid w:val="00A104F4"/>
    <w:rsid w:val="00A106D0"/>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5EC"/>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6B72"/>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232"/>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457C"/>
    <w:rsid w:val="00AB4D05"/>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172"/>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17"/>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E7E99"/>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85D"/>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5D91"/>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350"/>
    <w:rsid w:val="00B745E7"/>
    <w:rsid w:val="00B746F7"/>
    <w:rsid w:val="00B749C8"/>
    <w:rsid w:val="00B749FA"/>
    <w:rsid w:val="00B74A10"/>
    <w:rsid w:val="00B74E14"/>
    <w:rsid w:val="00B75632"/>
    <w:rsid w:val="00B75D33"/>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75E"/>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91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EA0"/>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5D93"/>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31"/>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376"/>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B99"/>
    <w:rsid w:val="00C91D63"/>
    <w:rsid w:val="00C9277A"/>
    <w:rsid w:val="00C92E5E"/>
    <w:rsid w:val="00C93EDD"/>
    <w:rsid w:val="00C940E9"/>
    <w:rsid w:val="00C942FE"/>
    <w:rsid w:val="00C94501"/>
    <w:rsid w:val="00C945AE"/>
    <w:rsid w:val="00C94931"/>
    <w:rsid w:val="00C94C82"/>
    <w:rsid w:val="00C94C94"/>
    <w:rsid w:val="00C95493"/>
    <w:rsid w:val="00C956ED"/>
    <w:rsid w:val="00C95B11"/>
    <w:rsid w:val="00C96398"/>
    <w:rsid w:val="00C967CC"/>
    <w:rsid w:val="00C96E2F"/>
    <w:rsid w:val="00C973B8"/>
    <w:rsid w:val="00C97AF5"/>
    <w:rsid w:val="00CA0FA7"/>
    <w:rsid w:val="00CA109B"/>
    <w:rsid w:val="00CA1416"/>
    <w:rsid w:val="00CA17A7"/>
    <w:rsid w:val="00CA1804"/>
    <w:rsid w:val="00CA257C"/>
    <w:rsid w:val="00CA2679"/>
    <w:rsid w:val="00CA49CC"/>
    <w:rsid w:val="00CA49F9"/>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AF7"/>
    <w:rsid w:val="00CD4B4F"/>
    <w:rsid w:val="00CD4EEE"/>
    <w:rsid w:val="00CD56C1"/>
    <w:rsid w:val="00CD5A84"/>
    <w:rsid w:val="00CD692C"/>
    <w:rsid w:val="00CD6B4F"/>
    <w:rsid w:val="00CD7573"/>
    <w:rsid w:val="00CD7E32"/>
    <w:rsid w:val="00CE0661"/>
    <w:rsid w:val="00CE0A2B"/>
    <w:rsid w:val="00CE115C"/>
    <w:rsid w:val="00CE14FD"/>
    <w:rsid w:val="00CE172F"/>
    <w:rsid w:val="00CE17FA"/>
    <w:rsid w:val="00CE1F61"/>
    <w:rsid w:val="00CE2603"/>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9A9"/>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60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0C33"/>
    <w:rsid w:val="00D810A3"/>
    <w:rsid w:val="00D818CB"/>
    <w:rsid w:val="00D81FFB"/>
    <w:rsid w:val="00D8342D"/>
    <w:rsid w:val="00D83F23"/>
    <w:rsid w:val="00D844CB"/>
    <w:rsid w:val="00D8479A"/>
    <w:rsid w:val="00D84F03"/>
    <w:rsid w:val="00D85434"/>
    <w:rsid w:val="00D85DE4"/>
    <w:rsid w:val="00D8614D"/>
    <w:rsid w:val="00D862E5"/>
    <w:rsid w:val="00D867C8"/>
    <w:rsid w:val="00D86902"/>
    <w:rsid w:val="00D8746C"/>
    <w:rsid w:val="00D87588"/>
    <w:rsid w:val="00D8767B"/>
    <w:rsid w:val="00D876A1"/>
    <w:rsid w:val="00D87D4D"/>
    <w:rsid w:val="00D90106"/>
    <w:rsid w:val="00D909F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059"/>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3403"/>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653"/>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1E8C"/>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86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E8D"/>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29A"/>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BBA"/>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193"/>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5C6"/>
    <w:rsid w:val="00F267D7"/>
    <w:rsid w:val="00F26F1D"/>
    <w:rsid w:val="00F273D3"/>
    <w:rsid w:val="00F2749B"/>
    <w:rsid w:val="00F278CB"/>
    <w:rsid w:val="00F27B69"/>
    <w:rsid w:val="00F3067F"/>
    <w:rsid w:val="00F306A3"/>
    <w:rsid w:val="00F31C2D"/>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057"/>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8F1"/>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2C9A"/>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105"/>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qFormat/>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iPriority w:val="35"/>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80293857">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30771275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611790762">
      <w:bodyDiv w:val="1"/>
      <w:marLeft w:val="0"/>
      <w:marRight w:val="0"/>
      <w:marTop w:val="0"/>
      <w:marBottom w:val="0"/>
      <w:divBdr>
        <w:top w:val="none" w:sz="0" w:space="0" w:color="auto"/>
        <w:left w:val="none" w:sz="0" w:space="0" w:color="auto"/>
        <w:bottom w:val="none" w:sz="0" w:space="0" w:color="auto"/>
        <w:right w:val="none" w:sz="0" w:space="0" w:color="auto"/>
      </w:divBdr>
      <w:divsChild>
        <w:div w:id="1673294613">
          <w:marLeft w:val="1166"/>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52320429">
      <w:bodyDiv w:val="1"/>
      <w:marLeft w:val="0"/>
      <w:marRight w:val="0"/>
      <w:marTop w:val="0"/>
      <w:marBottom w:val="0"/>
      <w:divBdr>
        <w:top w:val="none" w:sz="0" w:space="0" w:color="auto"/>
        <w:left w:val="none" w:sz="0" w:space="0" w:color="auto"/>
        <w:bottom w:val="none" w:sz="0" w:space="0" w:color="auto"/>
        <w:right w:val="none" w:sz="0" w:space="0" w:color="auto"/>
      </w:divBdr>
      <w:divsChild>
        <w:div w:id="1365207202">
          <w:marLeft w:val="1166"/>
          <w:marRight w:val="0"/>
          <w:marTop w:val="0"/>
          <w:marBottom w:val="0"/>
          <w:divBdr>
            <w:top w:val="none" w:sz="0" w:space="0" w:color="auto"/>
            <w:left w:val="none" w:sz="0" w:space="0" w:color="auto"/>
            <w:bottom w:val="none" w:sz="0" w:space="0" w:color="auto"/>
            <w:right w:val="none" w:sz="0" w:space="0" w:color="auto"/>
          </w:divBdr>
        </w:div>
      </w:divsChild>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0599135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322540214">
      <w:bodyDiv w:val="1"/>
      <w:marLeft w:val="0"/>
      <w:marRight w:val="0"/>
      <w:marTop w:val="0"/>
      <w:marBottom w:val="0"/>
      <w:divBdr>
        <w:top w:val="none" w:sz="0" w:space="0" w:color="auto"/>
        <w:left w:val="none" w:sz="0" w:space="0" w:color="auto"/>
        <w:bottom w:val="none" w:sz="0" w:space="0" w:color="auto"/>
        <w:right w:val="none" w:sz="0" w:space="0" w:color="auto"/>
      </w:divBdr>
      <w:divsChild>
        <w:div w:id="68234165">
          <w:marLeft w:val="1166"/>
          <w:marRight w:val="0"/>
          <w:marTop w:val="0"/>
          <w:marBottom w:val="0"/>
          <w:divBdr>
            <w:top w:val="none" w:sz="0" w:space="0" w:color="auto"/>
            <w:left w:val="none" w:sz="0" w:space="0" w:color="auto"/>
            <w:bottom w:val="none" w:sz="0" w:space="0" w:color="auto"/>
            <w:right w:val="none" w:sz="0" w:space="0" w:color="auto"/>
          </w:divBdr>
        </w:div>
      </w:divsChild>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699309202">
      <w:bodyDiv w:val="1"/>
      <w:marLeft w:val="0"/>
      <w:marRight w:val="0"/>
      <w:marTop w:val="0"/>
      <w:marBottom w:val="0"/>
      <w:divBdr>
        <w:top w:val="none" w:sz="0" w:space="0" w:color="auto"/>
        <w:left w:val="none" w:sz="0" w:space="0" w:color="auto"/>
        <w:bottom w:val="none" w:sz="0" w:space="0" w:color="auto"/>
        <w:right w:val="none" w:sz="0" w:space="0" w:color="auto"/>
      </w:divBdr>
    </w:div>
    <w:div w:id="1778334915">
      <w:bodyDiv w:val="1"/>
      <w:marLeft w:val="0"/>
      <w:marRight w:val="0"/>
      <w:marTop w:val="0"/>
      <w:marBottom w:val="0"/>
      <w:divBdr>
        <w:top w:val="none" w:sz="0" w:space="0" w:color="auto"/>
        <w:left w:val="none" w:sz="0" w:space="0" w:color="auto"/>
        <w:bottom w:val="none" w:sz="0" w:space="0" w:color="auto"/>
        <w:right w:val="none" w:sz="0" w:space="0" w:color="auto"/>
      </w:divBdr>
    </w:div>
    <w:div w:id="194441748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0FA12B81-E2BC-4254-8F9C-845D887F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cp:lastModifiedBy>
  <cp:revision>40</cp:revision>
  <cp:lastPrinted>2014-08-13T09:20:00Z</cp:lastPrinted>
  <dcterms:created xsi:type="dcterms:W3CDTF">2025-03-19T06:29:00Z</dcterms:created>
  <dcterms:modified xsi:type="dcterms:W3CDTF">2025-03-28T06:46:00Z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(3)TfrHleW8ynM32MeGCA+nOTRHjhQB8PAT9+M+KGfEEpi4ItXd/eEcczI4CXUNh2UnqVMcLDFC
89oYleNymx80mrdBrpck5TyJEIDtspJuzWdw3jPjkS860bMqYUctzivtenmlkVaY7A20w707
kbc1iC5UAYL5WyJEA9neDQ07kD3mS0CYm3noZV72NKKs02+pSZLg92eLfVCL/dCljk5VmBTC
SEQrILvZ2ac9DpCEPT</vt:lpwstr>
  </property>
  <property fmtid="{D5CDD505-2E9C-101B-9397-08002B2CF9AE}" pid="3" name="_2015_ms_pID_7253431">
    <vt:lpwstr>fh7zEHsJU7auHjdJ0hTVvsF8xm8NzidaHbB5RfCS2rgpQiPV/oyblS
7c8tmcTpeJEsPEt3AFjiabC3Qjh6lf/HLuJS7rYoRCEi6HEeffw6ZP0vd8xw6osab2taPRw4
ZEscN0jzAku2v8kNmrOqMBh8EBootb1SXwCYIpdLFs4hlqbqSpWTktLvfTiGAKO0I4Cc2pdM
0cxMy4eJgIXIJp1OIh1CN+KCvEEcGkXSJ3dQ</vt:lpwstr>
  </property>
  <property fmtid="{D5CDD505-2E9C-101B-9397-08002B2CF9AE}" pid="4" name="KSOProductBuildVer">
    <vt:lpwstr>2052-11.8.2.9022</vt:lpwstr>
  </property>
  <property fmtid="{D5CDD505-2E9C-101B-9397-08002B2CF9AE}" pid="5" name="_2015_ms_pID_7253432">
    <vt:lpwstr>Aw==</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